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2B14" w14:textId="77777777" w:rsidR="004755F6" w:rsidRPr="00745B9F" w:rsidRDefault="004755F6" w:rsidP="004755F6">
      <w:pPr>
        <w:spacing w:after="0"/>
        <w:jc w:val="center"/>
        <w:rPr>
          <w:rFonts w:ascii="Book Antiqua" w:hAnsi="Book Antiqua"/>
          <w:b/>
          <w:bCs/>
          <w:sz w:val="26"/>
          <w:szCs w:val="26"/>
        </w:rPr>
      </w:pPr>
      <w:bookmarkStart w:id="0" w:name="alonzo-s.-v.-omalley"/>
      <w:r w:rsidRPr="00E411DA">
        <w:rPr>
          <w:rFonts w:ascii="Book Antiqua" w:hAnsi="Book Antiqua"/>
          <w:b/>
          <w:bCs/>
          <w:sz w:val="26"/>
          <w:szCs w:val="26"/>
        </w:rPr>
        <w:t>Downloadable Attachment</w:t>
      </w:r>
    </w:p>
    <w:p w14:paraId="502CF591" w14:textId="77777777" w:rsidR="00745B9F" w:rsidRPr="00E411DA" w:rsidRDefault="00745B9F" w:rsidP="00745B9F">
      <w:pPr>
        <w:spacing w:after="0"/>
        <w:jc w:val="center"/>
        <w:rPr>
          <w:rFonts w:ascii="Book Antiqua" w:hAnsi="Book Antiqua"/>
          <w:b/>
          <w:bCs/>
          <w:sz w:val="26"/>
          <w:szCs w:val="26"/>
        </w:rPr>
      </w:pPr>
      <w:r w:rsidRPr="00745B9F">
        <w:rPr>
          <w:rFonts w:ascii="Book Antiqua" w:hAnsi="Book Antiqua"/>
          <w:b/>
          <w:bCs/>
          <w:sz w:val="26"/>
          <w:szCs w:val="26"/>
        </w:rPr>
        <w:t>Recent Cases of Interest</w:t>
      </w:r>
    </w:p>
    <w:p w14:paraId="67D58AF3" w14:textId="7A81D1E8" w:rsidR="00745B9F" w:rsidRPr="00745B9F" w:rsidRDefault="00745B9F" w:rsidP="00745B9F">
      <w:pPr>
        <w:spacing w:after="0"/>
        <w:jc w:val="center"/>
        <w:rPr>
          <w:rFonts w:ascii="Book Antiqua" w:hAnsi="Book Antiqua"/>
          <w:b/>
          <w:bCs/>
          <w:sz w:val="26"/>
          <w:szCs w:val="26"/>
        </w:rPr>
      </w:pPr>
      <w:r w:rsidRPr="00E411DA">
        <w:rPr>
          <w:rFonts w:ascii="Book Antiqua" w:hAnsi="Book Antiqua"/>
          <w:b/>
          <w:bCs/>
          <w:sz w:val="26"/>
          <w:szCs w:val="26"/>
        </w:rPr>
        <w:t>December 19, 2024</w:t>
      </w:r>
    </w:p>
    <w:p w14:paraId="75F11121" w14:textId="0C8BCA64" w:rsidR="006A7C5C" w:rsidRPr="00E411DA" w:rsidRDefault="00745B9F" w:rsidP="00745B9F">
      <w:pPr>
        <w:spacing w:after="0"/>
        <w:jc w:val="center"/>
        <w:rPr>
          <w:rFonts w:ascii="Book Antiqua" w:hAnsi="Book Antiqua"/>
          <w:b/>
          <w:bCs/>
          <w:sz w:val="26"/>
          <w:szCs w:val="26"/>
        </w:rPr>
      </w:pPr>
      <w:r w:rsidRPr="00745B9F">
        <w:rPr>
          <w:rFonts w:ascii="Book Antiqua" w:hAnsi="Book Antiqua"/>
          <w:b/>
          <w:bCs/>
          <w:sz w:val="26"/>
          <w:szCs w:val="26"/>
        </w:rPr>
        <w:t>Tom Krause, NOSSCR Litigation Director</w:t>
      </w:r>
    </w:p>
    <w:p w14:paraId="55A76B88" w14:textId="77777777" w:rsidR="00745B9F" w:rsidRPr="00E411DA" w:rsidRDefault="00745B9F" w:rsidP="00745B9F">
      <w:pPr>
        <w:spacing w:after="0"/>
        <w:rPr>
          <w:rFonts w:ascii="Book Antiqua" w:hAnsi="Book Antiqua"/>
          <w:b/>
          <w:bCs/>
          <w:sz w:val="26"/>
          <w:szCs w:val="26"/>
        </w:rPr>
      </w:pPr>
    </w:p>
    <w:p w14:paraId="14B010D0" w14:textId="77777777" w:rsidR="00745B9F" w:rsidRPr="00E411DA" w:rsidRDefault="00745B9F" w:rsidP="00745B9F">
      <w:pPr>
        <w:spacing w:after="0"/>
        <w:rPr>
          <w:rFonts w:ascii="Book Antiqua" w:hAnsi="Book Antiqua"/>
          <w:sz w:val="26"/>
          <w:szCs w:val="26"/>
        </w:rPr>
      </w:pPr>
    </w:p>
    <w:p w14:paraId="09B70149" w14:textId="39CBF9CA" w:rsidR="001A2282" w:rsidRPr="00E411DA" w:rsidRDefault="00DB68C9" w:rsidP="000021C7">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 xml:space="preserve">Alonzo S. v. </w:t>
      </w:r>
      <w:proofErr w:type="gramStart"/>
      <w:r w:rsidRPr="00E411DA">
        <w:rPr>
          <w:rFonts w:ascii="Book Antiqua" w:hAnsi="Book Antiqua"/>
          <w:i/>
          <w:iCs/>
          <w:sz w:val="26"/>
          <w:szCs w:val="26"/>
        </w:rPr>
        <w:t>O’Malley</w:t>
      </w:r>
      <w:r w:rsidRPr="00E411DA">
        <w:rPr>
          <w:rFonts w:ascii="Book Antiqua" w:hAnsi="Book Antiqua"/>
          <w:sz w:val="26"/>
          <w:szCs w:val="26"/>
        </w:rPr>
        <w:t>, —</w:t>
      </w:r>
      <w:proofErr w:type="gramEnd"/>
      <w:r w:rsidRPr="00E411DA">
        <w:rPr>
          <w:rFonts w:ascii="Book Antiqua" w:hAnsi="Book Antiqua"/>
          <w:sz w:val="26"/>
          <w:szCs w:val="26"/>
        </w:rPr>
        <w:t xml:space="preserve"> F.Supp.3d —-, 2024 WL 4818732 (N.D. Ill. Nov. 18, 2024) </w:t>
      </w:r>
    </w:p>
    <w:p w14:paraId="3CCF8007" w14:textId="77777777" w:rsidR="000021C7" w:rsidRPr="00E411DA" w:rsidRDefault="000021C7" w:rsidP="00DB68C9">
      <w:pPr>
        <w:pStyle w:val="BodyText"/>
        <w:spacing w:after="0"/>
        <w:rPr>
          <w:rFonts w:ascii="Book Antiqua" w:hAnsi="Book Antiqua"/>
          <w:sz w:val="26"/>
          <w:szCs w:val="26"/>
        </w:rPr>
      </w:pPr>
    </w:p>
    <w:p w14:paraId="4CB90651" w14:textId="14E9C26C"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Alonzo S. (“Claimant”) appealed the Commissioner of Social Security’s denial of his application for disability insurance benefits</w:t>
      </w:r>
      <w:r w:rsidR="0083652F">
        <w:rPr>
          <w:rFonts w:ascii="Book Antiqua" w:hAnsi="Book Antiqua"/>
          <w:sz w:val="26"/>
          <w:szCs w:val="26"/>
        </w:rPr>
        <w:t>: the</w:t>
      </w:r>
      <w:r w:rsidRPr="00E411DA">
        <w:rPr>
          <w:rFonts w:ascii="Book Antiqua" w:hAnsi="Book Antiqua"/>
          <w:sz w:val="26"/>
          <w:szCs w:val="26"/>
        </w:rPr>
        <w:t xml:space="preserve"> District Court, N.D. Illinois, Eastern Division, remanded the case to the Social Security Administration for further proceedings. </w:t>
      </w:r>
    </w:p>
    <w:p w14:paraId="2081B2C8" w14:textId="77777777" w:rsidR="00584EC0" w:rsidRPr="00E411DA" w:rsidRDefault="00584EC0" w:rsidP="00DB68C9">
      <w:pPr>
        <w:pStyle w:val="BodyText"/>
        <w:spacing w:after="0"/>
        <w:rPr>
          <w:rFonts w:ascii="Book Antiqua" w:hAnsi="Book Antiqua"/>
          <w:sz w:val="26"/>
          <w:szCs w:val="26"/>
        </w:rPr>
      </w:pPr>
    </w:p>
    <w:p w14:paraId="71341F20" w14:textId="7C0EDB55"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substantial evidence did not support the residual functional capacity (RFC) determination because the ALJ failed to explain why </w:t>
      </w:r>
      <w:r w:rsidR="00584EC0" w:rsidRPr="00E411DA">
        <w:rPr>
          <w:rFonts w:ascii="Book Antiqua" w:hAnsi="Book Antiqua"/>
          <w:sz w:val="26"/>
          <w:szCs w:val="26"/>
        </w:rPr>
        <w:t xml:space="preserve">the </w:t>
      </w:r>
      <w:r w:rsidRPr="00E411DA">
        <w:rPr>
          <w:rFonts w:ascii="Book Antiqua" w:hAnsi="Book Antiqua"/>
          <w:sz w:val="26"/>
          <w:szCs w:val="26"/>
        </w:rPr>
        <w:t xml:space="preserve">Claimant’s mild limitation in concentration, persistence, and pace did not affect his work functionality. The Court also held that substantial evidence did not support the evaluation of medical opinion evidence because the ALJ’s reasons for finding the treating physician’s opinion unpersuasive were not supported by the record. Additionally, the ALJ violated agency policy by allowing the medical expert to testify before hearing the Claimant’s testimony. </w:t>
      </w:r>
    </w:p>
    <w:p w14:paraId="46678020" w14:textId="77777777" w:rsidR="000021C7" w:rsidRPr="00E411DA" w:rsidRDefault="000021C7" w:rsidP="00DB68C9">
      <w:pPr>
        <w:pStyle w:val="FirstParagraph"/>
        <w:spacing w:after="0"/>
        <w:rPr>
          <w:rFonts w:ascii="Book Antiqua" w:hAnsi="Book Antiqua"/>
          <w:i/>
          <w:iCs/>
          <w:sz w:val="26"/>
          <w:szCs w:val="26"/>
        </w:rPr>
      </w:pPr>
      <w:bookmarkStart w:id="1" w:name="daniela-cailean-v.-martin-j.-omalley"/>
      <w:bookmarkEnd w:id="0"/>
    </w:p>
    <w:p w14:paraId="0EE8B6FB" w14:textId="2EF3EF1B" w:rsidR="001A2282" w:rsidRPr="00E411DA" w:rsidRDefault="00DB68C9" w:rsidP="00A91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Daniela Cailean v. O’Malley</w:t>
      </w:r>
      <w:r w:rsidRPr="00E411DA">
        <w:rPr>
          <w:rFonts w:ascii="Book Antiqua" w:hAnsi="Book Antiqua"/>
          <w:sz w:val="26"/>
          <w:szCs w:val="26"/>
        </w:rPr>
        <w:t xml:space="preserve">, No. 24-596, 2024 WL 4824035 (9th Cir. Nov. 19, 2024) </w:t>
      </w:r>
    </w:p>
    <w:p w14:paraId="33D3FCEF" w14:textId="77777777" w:rsidR="00A9161C" w:rsidRPr="00E411DA" w:rsidRDefault="00A9161C" w:rsidP="00DB68C9">
      <w:pPr>
        <w:pStyle w:val="BodyText"/>
        <w:spacing w:after="0"/>
        <w:rPr>
          <w:rFonts w:ascii="Book Antiqua" w:hAnsi="Book Antiqua"/>
          <w:sz w:val="26"/>
          <w:szCs w:val="26"/>
        </w:rPr>
      </w:pPr>
    </w:p>
    <w:p w14:paraId="10C07329" w14:textId="5F289B20"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Daniela Cailean appealed the district court’s judgment affirming the Commissioner of Social Security’s denial of her application for disability insurance benefits. The Ninth Circuit reversed and </w:t>
      </w:r>
      <w:proofErr w:type="gramStart"/>
      <w:r w:rsidRPr="00E411DA">
        <w:rPr>
          <w:rFonts w:ascii="Book Antiqua" w:hAnsi="Book Antiqua"/>
          <w:sz w:val="26"/>
          <w:szCs w:val="26"/>
        </w:rPr>
        <w:t>remanded</w:t>
      </w:r>
      <w:proofErr w:type="gramEnd"/>
      <w:r w:rsidRPr="00E411DA">
        <w:rPr>
          <w:rFonts w:ascii="Book Antiqua" w:hAnsi="Book Antiqua"/>
          <w:sz w:val="26"/>
          <w:szCs w:val="26"/>
        </w:rPr>
        <w:t xml:space="preserve">. </w:t>
      </w:r>
    </w:p>
    <w:p w14:paraId="545C2570" w14:textId="77777777" w:rsidR="00EE09DA" w:rsidRPr="00E411DA" w:rsidRDefault="00EE09DA" w:rsidP="00DB68C9">
      <w:pPr>
        <w:pStyle w:val="BodyText"/>
        <w:spacing w:after="0"/>
        <w:rPr>
          <w:rFonts w:ascii="Book Antiqua" w:hAnsi="Book Antiqua"/>
          <w:sz w:val="26"/>
          <w:szCs w:val="26"/>
        </w:rPr>
      </w:pPr>
    </w:p>
    <w:p w14:paraId="420E934F" w14:textId="6FC535C0"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improperly discounted Cailean’s symptom testimony without sufficiently considering </w:t>
      </w:r>
      <w:r w:rsidR="0083652F">
        <w:rPr>
          <w:rFonts w:ascii="Book Antiqua" w:hAnsi="Book Antiqua"/>
          <w:sz w:val="26"/>
          <w:szCs w:val="26"/>
        </w:rPr>
        <w:t xml:space="preserve">her </w:t>
      </w:r>
      <w:r w:rsidR="00BF4269">
        <w:rPr>
          <w:rFonts w:ascii="Book Antiqua" w:hAnsi="Book Antiqua"/>
          <w:sz w:val="26"/>
          <w:szCs w:val="26"/>
        </w:rPr>
        <w:t>symptoms’</w:t>
      </w:r>
      <w:r w:rsidR="0083652F">
        <w:rPr>
          <w:rFonts w:ascii="Book Antiqua" w:hAnsi="Book Antiqua"/>
          <w:sz w:val="26"/>
          <w:szCs w:val="26"/>
        </w:rPr>
        <w:t xml:space="preserve"> duration or chronological fluctuation</w:t>
      </w:r>
      <w:r w:rsidRPr="00E411DA">
        <w:rPr>
          <w:rFonts w:ascii="Book Antiqua" w:hAnsi="Book Antiqua"/>
          <w:sz w:val="26"/>
          <w:szCs w:val="26"/>
        </w:rPr>
        <w:t xml:space="preserve">. The ALJ’s reasons for discounting the testimony were only applicable to the later period of the alleged disability, not the earlier period. The Court also held that the ALJ improperly rejected </w:t>
      </w:r>
      <w:r w:rsidR="000B7848">
        <w:rPr>
          <w:rFonts w:ascii="Book Antiqua" w:hAnsi="Book Antiqua"/>
          <w:sz w:val="26"/>
          <w:szCs w:val="26"/>
        </w:rPr>
        <w:t xml:space="preserve">Cailean’s orthopedic </w:t>
      </w:r>
      <w:r w:rsidR="00BF4269">
        <w:rPr>
          <w:rFonts w:ascii="Book Antiqua" w:hAnsi="Book Antiqua"/>
          <w:sz w:val="26"/>
          <w:szCs w:val="26"/>
        </w:rPr>
        <w:t>surgeon’s</w:t>
      </w:r>
      <w:r w:rsidR="000B7848">
        <w:rPr>
          <w:rFonts w:ascii="Book Antiqua" w:hAnsi="Book Antiqua"/>
          <w:sz w:val="26"/>
          <w:szCs w:val="26"/>
        </w:rPr>
        <w:t xml:space="preserve"> medical opinions and her </w:t>
      </w:r>
      <w:r w:rsidR="00BF4269">
        <w:rPr>
          <w:rFonts w:ascii="Book Antiqua" w:hAnsi="Book Antiqua"/>
          <w:sz w:val="26"/>
          <w:szCs w:val="26"/>
        </w:rPr>
        <w:t>friend’s</w:t>
      </w:r>
      <w:r w:rsidR="000B7848">
        <w:rPr>
          <w:rFonts w:ascii="Book Antiqua" w:hAnsi="Book Antiqua"/>
          <w:sz w:val="26"/>
          <w:szCs w:val="26"/>
        </w:rPr>
        <w:t xml:space="preserve"> third-party function reports</w:t>
      </w:r>
      <w:r w:rsidRPr="00E411DA">
        <w:rPr>
          <w:rFonts w:ascii="Book Antiqua" w:hAnsi="Book Antiqua"/>
          <w:sz w:val="26"/>
          <w:szCs w:val="26"/>
        </w:rPr>
        <w:t xml:space="preserve">. </w:t>
      </w:r>
    </w:p>
    <w:p w14:paraId="716CCB89" w14:textId="77777777" w:rsidR="00DB68C9" w:rsidRPr="00E411DA" w:rsidRDefault="00DB68C9" w:rsidP="00DB68C9">
      <w:pPr>
        <w:pStyle w:val="FirstParagraph"/>
        <w:spacing w:after="0"/>
        <w:rPr>
          <w:rFonts w:ascii="Book Antiqua" w:hAnsi="Book Antiqua"/>
          <w:i/>
          <w:iCs/>
          <w:sz w:val="26"/>
          <w:szCs w:val="26"/>
        </w:rPr>
      </w:pPr>
      <w:bookmarkStart w:id="2" w:name="gwendolyn-smith-v.-martin-j.-omalley"/>
      <w:bookmarkEnd w:id="1"/>
    </w:p>
    <w:p w14:paraId="67913911" w14:textId="6F2F487A" w:rsidR="001A2282" w:rsidRPr="00E411DA" w:rsidRDefault="00DB68C9" w:rsidP="00A91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Gwendolyn Smith v. O’Malley</w:t>
      </w:r>
      <w:r w:rsidRPr="00E411DA">
        <w:rPr>
          <w:rFonts w:ascii="Book Antiqua" w:hAnsi="Book Antiqua"/>
          <w:sz w:val="26"/>
          <w:szCs w:val="26"/>
        </w:rPr>
        <w:t xml:space="preserve">, No. 23-3220, 2024 WL 4879472 (9th Cir. Nov. 25, 2024) </w:t>
      </w:r>
    </w:p>
    <w:p w14:paraId="03259C82" w14:textId="77777777" w:rsidR="00A9161C" w:rsidRPr="00E411DA" w:rsidRDefault="00A9161C" w:rsidP="00DB68C9">
      <w:pPr>
        <w:pStyle w:val="BodyText"/>
        <w:spacing w:after="0"/>
        <w:rPr>
          <w:rFonts w:ascii="Book Antiqua" w:hAnsi="Book Antiqua"/>
          <w:sz w:val="26"/>
          <w:szCs w:val="26"/>
        </w:rPr>
      </w:pPr>
    </w:p>
    <w:p w14:paraId="49471FCF" w14:textId="03FC5A6C"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lastRenderedPageBreak/>
        <w:t xml:space="preserve">Gwendolyn Smith appealed the district court’s </w:t>
      </w:r>
      <w:proofErr w:type="gramStart"/>
      <w:r w:rsidRPr="00E411DA">
        <w:rPr>
          <w:rFonts w:ascii="Book Antiqua" w:hAnsi="Book Antiqua"/>
          <w:sz w:val="26"/>
          <w:szCs w:val="26"/>
        </w:rPr>
        <w:t>affirmance</w:t>
      </w:r>
      <w:proofErr w:type="gramEnd"/>
      <w:r w:rsidRPr="00E411DA">
        <w:rPr>
          <w:rFonts w:ascii="Book Antiqua" w:hAnsi="Book Antiqua"/>
          <w:sz w:val="26"/>
          <w:szCs w:val="26"/>
        </w:rPr>
        <w:t xml:space="preserve"> of the denial of her Social Security disability insurance application. The Ninth Circuit reversed and </w:t>
      </w:r>
      <w:proofErr w:type="gramStart"/>
      <w:r w:rsidRPr="00E411DA">
        <w:rPr>
          <w:rFonts w:ascii="Book Antiqua" w:hAnsi="Book Antiqua"/>
          <w:sz w:val="26"/>
          <w:szCs w:val="26"/>
        </w:rPr>
        <w:t>remanded</w:t>
      </w:r>
      <w:proofErr w:type="gramEnd"/>
      <w:r w:rsidRPr="00E411DA">
        <w:rPr>
          <w:rFonts w:ascii="Book Antiqua" w:hAnsi="Book Antiqua"/>
          <w:sz w:val="26"/>
          <w:szCs w:val="26"/>
        </w:rPr>
        <w:t xml:space="preserve">. </w:t>
      </w:r>
    </w:p>
    <w:p w14:paraId="217F7F0F" w14:textId="77777777" w:rsidR="00FE7D81" w:rsidRDefault="00FE7D81" w:rsidP="00DB68C9">
      <w:pPr>
        <w:pStyle w:val="BodyText"/>
        <w:spacing w:after="0"/>
        <w:rPr>
          <w:rFonts w:ascii="Book Antiqua" w:hAnsi="Book Antiqua"/>
          <w:sz w:val="26"/>
          <w:szCs w:val="26"/>
        </w:rPr>
      </w:pPr>
    </w:p>
    <w:p w14:paraId="489C31D9" w14:textId="1ACC0F9B"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erred in rejecting Smith’s testimony about the extent of her pain. While Smith presented objective medical evidence of impairments that could be expected to cause pain, the ALJ’s reasons for rejecting her testimony were not specific or clear. The ALJ’s reliance on Smith’s improvement with opioid painkillers, increased activity levels, and a gap in treatment records was not supported by substantial evidence. </w:t>
      </w:r>
    </w:p>
    <w:p w14:paraId="024EDECF" w14:textId="77777777" w:rsidR="00DB68C9" w:rsidRPr="00E411DA" w:rsidRDefault="00DB68C9" w:rsidP="00DB68C9">
      <w:pPr>
        <w:pStyle w:val="FirstParagraph"/>
        <w:spacing w:after="0"/>
        <w:rPr>
          <w:rFonts w:ascii="Book Antiqua" w:hAnsi="Book Antiqua"/>
          <w:i/>
          <w:iCs/>
          <w:sz w:val="26"/>
          <w:szCs w:val="26"/>
        </w:rPr>
      </w:pPr>
      <w:bookmarkStart w:id="3" w:name="lori-s.-v.-omalley"/>
      <w:bookmarkEnd w:id="2"/>
    </w:p>
    <w:p w14:paraId="190BEFA8" w14:textId="272A109F" w:rsidR="001A2282" w:rsidRPr="00E411DA" w:rsidRDefault="00DB68C9" w:rsidP="00A91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Lori S. v. O’Malley</w:t>
      </w:r>
      <w:r w:rsidRPr="00E411DA">
        <w:rPr>
          <w:rFonts w:ascii="Book Antiqua" w:hAnsi="Book Antiqua"/>
          <w:sz w:val="26"/>
          <w:szCs w:val="26"/>
        </w:rPr>
        <w:t xml:space="preserve">, 727 F.Supp.3d 78 (D. Conn. 2024) </w:t>
      </w:r>
    </w:p>
    <w:p w14:paraId="25438268" w14:textId="77777777" w:rsidR="00A9161C" w:rsidRPr="00E411DA" w:rsidRDefault="00A9161C" w:rsidP="00DB68C9">
      <w:pPr>
        <w:pStyle w:val="BodyText"/>
        <w:spacing w:after="0"/>
        <w:rPr>
          <w:rFonts w:ascii="Book Antiqua" w:hAnsi="Book Antiqua"/>
          <w:sz w:val="26"/>
          <w:szCs w:val="26"/>
        </w:rPr>
      </w:pPr>
    </w:p>
    <w:p w14:paraId="79F5D093" w14:textId="13CC7224"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Lori S. sought judicial review of an ALJ’s decision denying her application for Social Security Disability Insurance Benefits (DIB). The District Court, D. Connecticut, granted Lori S.’s motion, denied the Commissioner’s motion, and remanded the case for rehearing. </w:t>
      </w:r>
    </w:p>
    <w:p w14:paraId="57620B84" w14:textId="77777777" w:rsidR="00FE7D81" w:rsidRDefault="00FE7D81" w:rsidP="00DB68C9">
      <w:pPr>
        <w:pStyle w:val="BodyText"/>
        <w:spacing w:after="0"/>
        <w:rPr>
          <w:rFonts w:ascii="Book Antiqua" w:hAnsi="Book Antiqua"/>
          <w:sz w:val="26"/>
          <w:szCs w:val="26"/>
        </w:rPr>
      </w:pPr>
    </w:p>
    <w:p w14:paraId="664FA1B8" w14:textId="333A1C72"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improperly formulated his decision based on an incomplete record. The ALJ noted inconsistencies between the treating sources’ opinions and their treatment notes but did not contact the treating sources to reconcile the inconsistencies. The Court also held that the evidence was insufficient to support the ALJ’s RFC determination that the claimant could perform medium work. The ALJ relied on physician opinions that did not specify the exertional level at which the claimant </w:t>
      </w:r>
      <w:r w:rsidR="00FA4C62">
        <w:rPr>
          <w:rFonts w:ascii="Book Antiqua" w:hAnsi="Book Antiqua"/>
          <w:sz w:val="26"/>
          <w:szCs w:val="26"/>
        </w:rPr>
        <w:t>could work</w:t>
      </w:r>
      <w:r w:rsidRPr="00E411DA">
        <w:rPr>
          <w:rFonts w:ascii="Book Antiqua" w:hAnsi="Book Antiqua"/>
          <w:sz w:val="26"/>
          <w:szCs w:val="26"/>
        </w:rPr>
        <w:t xml:space="preserve">, and the record suggested that exertional limitations were warranted. </w:t>
      </w:r>
    </w:p>
    <w:p w14:paraId="2D968830" w14:textId="77777777" w:rsidR="00DB68C9" w:rsidRPr="00E411DA" w:rsidRDefault="00DB68C9" w:rsidP="00DB68C9">
      <w:pPr>
        <w:pStyle w:val="FirstParagraph"/>
        <w:spacing w:after="0"/>
        <w:rPr>
          <w:rFonts w:ascii="Book Antiqua" w:hAnsi="Book Antiqua"/>
          <w:i/>
          <w:iCs/>
          <w:sz w:val="26"/>
          <w:szCs w:val="26"/>
        </w:rPr>
      </w:pPr>
      <w:bookmarkStart w:id="4" w:name="rony-r.-romero-v.-martin-j.-omalley"/>
      <w:bookmarkEnd w:id="3"/>
    </w:p>
    <w:p w14:paraId="380C9B8E" w14:textId="117757E5" w:rsidR="001A2282" w:rsidRPr="00E411DA" w:rsidRDefault="00DB68C9" w:rsidP="00A91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Rony R. Romero v. O’Malley</w:t>
      </w:r>
      <w:r w:rsidRPr="00E411DA">
        <w:rPr>
          <w:rFonts w:ascii="Book Antiqua" w:hAnsi="Book Antiqua"/>
          <w:sz w:val="26"/>
          <w:szCs w:val="26"/>
        </w:rPr>
        <w:t xml:space="preserve">, No. 23-55292, 2024 WL 4919515 (9th Cir. Nov. 29, 2024) </w:t>
      </w:r>
    </w:p>
    <w:p w14:paraId="2F1AA7CE" w14:textId="77777777" w:rsidR="00A9161C" w:rsidRPr="00E411DA" w:rsidRDefault="00A9161C" w:rsidP="00DB68C9">
      <w:pPr>
        <w:pStyle w:val="BodyText"/>
        <w:spacing w:after="0"/>
        <w:rPr>
          <w:rFonts w:ascii="Book Antiqua" w:hAnsi="Book Antiqua"/>
          <w:sz w:val="26"/>
          <w:szCs w:val="26"/>
        </w:rPr>
      </w:pPr>
    </w:p>
    <w:p w14:paraId="56B868C8" w14:textId="2A7394A8"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Rony Romero appealed the district court’s order affirming the denial of his applications for disability insurance benefits and supplemental security income. The Ninth Circuit reversed and remanded for further administrative proceedings. </w:t>
      </w:r>
    </w:p>
    <w:p w14:paraId="04B712E0" w14:textId="77777777" w:rsidR="00FE7D81" w:rsidRDefault="00FE7D81" w:rsidP="00DB68C9">
      <w:pPr>
        <w:pStyle w:val="BodyText"/>
        <w:spacing w:after="0"/>
        <w:rPr>
          <w:rFonts w:ascii="Book Antiqua" w:hAnsi="Book Antiqua"/>
          <w:sz w:val="26"/>
          <w:szCs w:val="26"/>
        </w:rPr>
      </w:pPr>
    </w:p>
    <w:p w14:paraId="69A61FD9" w14:textId="6760B971" w:rsidR="00DB68C9"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failed to provide specific, clear, and convincing reasons for discounting Romero’s subjective symptom testimony. While the ALJ found that Romero’s mental health conditions could cause the alleged symptoms, the ALJ’s conclusion that the medical evidence and Romero’s alleged failure to follow prescribed treatment undermined his account of the symptoms </w:t>
      </w:r>
      <w:r w:rsidRPr="00E411DA">
        <w:rPr>
          <w:rFonts w:ascii="Book Antiqua" w:hAnsi="Book Antiqua"/>
          <w:sz w:val="26"/>
          <w:szCs w:val="26"/>
        </w:rPr>
        <w:lastRenderedPageBreak/>
        <w:t xml:space="preserve">was not sufficiently supported. The Court also held that substantial evidence did not support the ALJ’s determination that the state agency consultants’ reports were partially persuasive because the ALJ failed to recognize the projected nature of the findings and whether Romero’s condition had improved. Finally, the Court held that substantial evidence did not support the ALJ’s rejection of Dr. Ingram’s medical opinion as unpersuasive. </w:t>
      </w:r>
      <w:bookmarkStart w:id="5" w:name="Xe182694aac68a291f4395b7b2766db2fe031641"/>
      <w:bookmarkEnd w:id="4"/>
    </w:p>
    <w:p w14:paraId="7542555F" w14:textId="77777777" w:rsidR="00DB68C9" w:rsidRPr="00E411DA" w:rsidRDefault="00DB68C9" w:rsidP="00DB68C9">
      <w:pPr>
        <w:pStyle w:val="BodyText"/>
        <w:spacing w:after="0"/>
        <w:rPr>
          <w:rFonts w:ascii="Book Antiqua" w:hAnsi="Book Antiqua"/>
          <w:sz w:val="26"/>
          <w:szCs w:val="26"/>
        </w:rPr>
      </w:pPr>
    </w:p>
    <w:p w14:paraId="2BA7DA6F" w14:textId="7229EF10" w:rsidR="001A2282" w:rsidRPr="00E411DA" w:rsidRDefault="00DB68C9" w:rsidP="00A91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Kimberly J. v. Comm’r of Soc. Sec.</w:t>
      </w:r>
      <w:r w:rsidRPr="00E411DA">
        <w:rPr>
          <w:rFonts w:ascii="Book Antiqua" w:hAnsi="Book Antiqua"/>
          <w:sz w:val="26"/>
          <w:szCs w:val="26"/>
        </w:rPr>
        <w:t xml:space="preserve">, 725 F.Supp.3d 305 (W.D.N.Y. 2024) </w:t>
      </w:r>
    </w:p>
    <w:p w14:paraId="54BB8A62" w14:textId="77777777" w:rsidR="00826E96" w:rsidRPr="00E411DA" w:rsidRDefault="00826E96" w:rsidP="00826E96">
      <w:pPr>
        <w:pStyle w:val="BodyText"/>
        <w:rPr>
          <w:rFonts w:ascii="Book Antiqua" w:hAnsi="Book Antiqua"/>
          <w:sz w:val="26"/>
          <w:szCs w:val="26"/>
        </w:rPr>
      </w:pPr>
    </w:p>
    <w:p w14:paraId="61738E64" w14:textId="7E7689D3"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Kimberly J. sought judicial review of the Commissioner of Social Security’s final decision</w:t>
      </w:r>
      <w:r w:rsidR="00FA4C62">
        <w:rPr>
          <w:rFonts w:ascii="Book Antiqua" w:hAnsi="Book Antiqua"/>
          <w:sz w:val="26"/>
          <w:szCs w:val="26"/>
        </w:rPr>
        <w:t>,</w:t>
      </w:r>
      <w:r w:rsidRPr="00E411DA">
        <w:rPr>
          <w:rFonts w:ascii="Book Antiqua" w:hAnsi="Book Antiqua"/>
          <w:sz w:val="26"/>
          <w:szCs w:val="26"/>
        </w:rPr>
        <w:t xml:space="preserve"> denying her applications for DIB and SSI. The District Court, W.D. New York, granted Kimberly J.’s motion in part and </w:t>
      </w:r>
      <w:r w:rsidR="00FA4C62">
        <w:rPr>
          <w:rFonts w:ascii="Book Antiqua" w:hAnsi="Book Antiqua"/>
          <w:sz w:val="26"/>
          <w:szCs w:val="26"/>
        </w:rPr>
        <w:t>rejected</w:t>
      </w:r>
      <w:r w:rsidRPr="00E411DA">
        <w:rPr>
          <w:rFonts w:ascii="Book Antiqua" w:hAnsi="Book Antiqua"/>
          <w:sz w:val="26"/>
          <w:szCs w:val="26"/>
        </w:rPr>
        <w:t xml:space="preserve"> the Commissioner’s motion. </w:t>
      </w:r>
    </w:p>
    <w:p w14:paraId="684EC107" w14:textId="77777777" w:rsidR="00FE7D81" w:rsidRDefault="00FE7D81" w:rsidP="00DB68C9">
      <w:pPr>
        <w:pStyle w:val="BodyText"/>
        <w:spacing w:after="0"/>
        <w:rPr>
          <w:rFonts w:ascii="Book Antiqua" w:hAnsi="Book Antiqua"/>
          <w:sz w:val="26"/>
          <w:szCs w:val="26"/>
        </w:rPr>
      </w:pPr>
    </w:p>
    <w:p w14:paraId="292A89C4" w14:textId="727E09E6"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failed to provide an explanation sufficient to allow for meaningful review of the determination in the RFC assessment that the claimant was limited to frequently pushing, pulling, and reaching with her bilateral upper extremities. While the ALJ credited the physician’s opinion that the claimant had moderate restrictions for reaching overhead, pushing, and pulling, the written determination included no specific discussion of why the ALJ did not adopt more stringent limitations. </w:t>
      </w:r>
    </w:p>
    <w:p w14:paraId="238D972D" w14:textId="77777777" w:rsidR="00826E96" w:rsidRPr="00E411DA" w:rsidRDefault="00826E96" w:rsidP="00DB68C9">
      <w:pPr>
        <w:pStyle w:val="FirstParagraph"/>
        <w:spacing w:after="0"/>
        <w:rPr>
          <w:rFonts w:ascii="Book Antiqua" w:hAnsi="Book Antiqua"/>
          <w:i/>
          <w:iCs/>
          <w:sz w:val="26"/>
          <w:szCs w:val="26"/>
        </w:rPr>
      </w:pPr>
      <w:bookmarkStart w:id="6" w:name="hahn-v.-kijakazi"/>
      <w:bookmarkEnd w:id="5"/>
    </w:p>
    <w:p w14:paraId="2BB99C73" w14:textId="3F6154E5" w:rsidR="001A2282" w:rsidRPr="00E411DA" w:rsidRDefault="00DB68C9" w:rsidP="00826E96">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Hahn v. Kijakazi</w:t>
      </w:r>
      <w:r w:rsidRPr="00E411DA">
        <w:rPr>
          <w:rFonts w:ascii="Book Antiqua" w:hAnsi="Book Antiqua"/>
          <w:sz w:val="26"/>
          <w:szCs w:val="26"/>
        </w:rPr>
        <w:t xml:space="preserve">, 725 F.Supp.3d 994 (N.D. Cal. 2024) </w:t>
      </w:r>
    </w:p>
    <w:p w14:paraId="32D8B9EC" w14:textId="77777777" w:rsidR="00826E96" w:rsidRPr="00E411DA" w:rsidRDefault="00826E96" w:rsidP="0082761C">
      <w:pPr>
        <w:pStyle w:val="BodyText"/>
        <w:ind w:left="720"/>
        <w:rPr>
          <w:rFonts w:ascii="Book Antiqua" w:hAnsi="Book Antiqua"/>
          <w:sz w:val="26"/>
          <w:szCs w:val="26"/>
        </w:rPr>
      </w:pPr>
    </w:p>
    <w:p w14:paraId="0AB3B089" w14:textId="760110C9"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S. N. Hahn sought judicial review of the Commissioner of Social Security’s denial of her application for DIB</w:t>
      </w:r>
      <w:r w:rsidR="00FA4C62">
        <w:rPr>
          <w:rFonts w:ascii="Book Antiqua" w:hAnsi="Book Antiqua"/>
          <w:sz w:val="26"/>
          <w:szCs w:val="26"/>
        </w:rPr>
        <w:t>: the</w:t>
      </w:r>
      <w:r w:rsidRPr="00E411DA">
        <w:rPr>
          <w:rFonts w:ascii="Book Antiqua" w:hAnsi="Book Antiqua"/>
          <w:sz w:val="26"/>
          <w:szCs w:val="26"/>
        </w:rPr>
        <w:t xml:space="preserve"> District Court, N.D. California granted Hahn’s motion, denied the Commissioner’s motion, and remanded the case for further proceedings. </w:t>
      </w:r>
    </w:p>
    <w:p w14:paraId="096D8EF7" w14:textId="77777777" w:rsidR="00FE7D81" w:rsidRDefault="00FE7D81" w:rsidP="00DB68C9">
      <w:pPr>
        <w:pStyle w:val="BodyText"/>
        <w:spacing w:after="0"/>
        <w:rPr>
          <w:rFonts w:ascii="Book Antiqua" w:hAnsi="Book Antiqua"/>
          <w:sz w:val="26"/>
          <w:szCs w:val="26"/>
        </w:rPr>
      </w:pPr>
    </w:p>
    <w:p w14:paraId="2A88398F" w14:textId="305008C7"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ALJ </w:t>
      </w:r>
      <w:r w:rsidR="008673E9">
        <w:rPr>
          <w:rFonts w:ascii="Book Antiqua" w:hAnsi="Book Antiqua"/>
          <w:sz w:val="26"/>
          <w:szCs w:val="26"/>
        </w:rPr>
        <w:t>failed</w:t>
      </w:r>
      <w:r w:rsidRPr="00E411DA">
        <w:rPr>
          <w:rFonts w:ascii="Book Antiqua" w:hAnsi="Book Antiqua"/>
          <w:sz w:val="26"/>
          <w:szCs w:val="26"/>
        </w:rPr>
        <w:t xml:space="preserve"> to provide an explanation supported by substantial evidence for rejecting the examining psychologist’s opinion that the claimant had a moderate limitation in her ability to complete a </w:t>
      </w:r>
      <w:r w:rsidR="008673E9">
        <w:rPr>
          <w:rFonts w:ascii="Book Antiqua" w:hAnsi="Book Antiqua"/>
          <w:sz w:val="26"/>
          <w:szCs w:val="26"/>
        </w:rPr>
        <w:t>typical</w:t>
      </w:r>
      <w:r w:rsidRPr="00E411DA">
        <w:rPr>
          <w:rFonts w:ascii="Book Antiqua" w:hAnsi="Book Antiqua"/>
          <w:sz w:val="26"/>
          <w:szCs w:val="26"/>
        </w:rPr>
        <w:t xml:space="preserve"> workday or workweek. The ALJ’s error was not harmless because the limitation could have been potentially disabling. The Court also held that the ALJ erred in failing to provide a specific, clear, and convincing reason to discount the claimant’s testimony about the severity of her migraines. Finally, the Court held that the ALJ </w:t>
      </w:r>
      <w:r w:rsidR="007101A2">
        <w:rPr>
          <w:rFonts w:ascii="Book Antiqua" w:hAnsi="Book Antiqua"/>
          <w:sz w:val="26"/>
          <w:szCs w:val="26"/>
        </w:rPr>
        <w:t>failed</w:t>
      </w:r>
      <w:r w:rsidRPr="00E411DA">
        <w:rPr>
          <w:rFonts w:ascii="Book Antiqua" w:hAnsi="Book Antiqua"/>
          <w:sz w:val="26"/>
          <w:szCs w:val="26"/>
        </w:rPr>
        <w:t xml:space="preserve"> to articulate reasons germane to each lay witness in rejecting third-party function reports, and the error was not harmless. </w:t>
      </w:r>
    </w:p>
    <w:p w14:paraId="1DAEED1B" w14:textId="77777777" w:rsidR="00DB68C9" w:rsidRPr="00E411DA" w:rsidRDefault="00DB68C9" w:rsidP="00DB68C9">
      <w:pPr>
        <w:pStyle w:val="FirstParagraph"/>
        <w:spacing w:after="0"/>
        <w:rPr>
          <w:rFonts w:ascii="Book Antiqua" w:hAnsi="Book Antiqua"/>
          <w:i/>
          <w:iCs/>
          <w:sz w:val="26"/>
          <w:szCs w:val="26"/>
        </w:rPr>
      </w:pPr>
      <w:bookmarkStart w:id="7" w:name="X6a860db5bf89a1f9e082ef076d73e8e14a685b3"/>
      <w:bookmarkEnd w:id="6"/>
    </w:p>
    <w:p w14:paraId="08360576" w14:textId="50CDDC60" w:rsidR="001A2282" w:rsidRPr="00E411DA" w:rsidRDefault="00DB68C9" w:rsidP="00827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lastRenderedPageBreak/>
        <w:t>Charles E. v. Comm’r of Soc. Sec</w:t>
      </w:r>
      <w:proofErr w:type="gramStart"/>
      <w:r w:rsidRPr="00E411DA">
        <w:rPr>
          <w:rFonts w:ascii="Book Antiqua" w:hAnsi="Book Antiqua"/>
          <w:i/>
          <w:iCs/>
          <w:sz w:val="26"/>
          <w:szCs w:val="26"/>
        </w:rPr>
        <w:t>.</w:t>
      </w:r>
      <w:r w:rsidRPr="00E411DA">
        <w:rPr>
          <w:rFonts w:ascii="Book Antiqua" w:hAnsi="Book Antiqua"/>
          <w:sz w:val="26"/>
          <w:szCs w:val="26"/>
        </w:rPr>
        <w:t>, —</w:t>
      </w:r>
      <w:proofErr w:type="gramEnd"/>
      <w:r w:rsidRPr="00E411DA">
        <w:rPr>
          <w:rFonts w:ascii="Book Antiqua" w:hAnsi="Book Antiqua"/>
          <w:sz w:val="26"/>
          <w:szCs w:val="26"/>
        </w:rPr>
        <w:t xml:space="preserve"> F.Supp.3d —-, 2024 WL 4633422 (W.D.N.Y. Oct. 31, 2024) </w:t>
      </w:r>
    </w:p>
    <w:p w14:paraId="0FC0A921" w14:textId="77777777" w:rsidR="0082761C" w:rsidRPr="00E411DA" w:rsidRDefault="0082761C" w:rsidP="00DB68C9">
      <w:pPr>
        <w:pStyle w:val="BodyText"/>
        <w:spacing w:after="0"/>
        <w:rPr>
          <w:rFonts w:ascii="Book Antiqua" w:hAnsi="Book Antiqua"/>
          <w:sz w:val="26"/>
          <w:szCs w:val="26"/>
        </w:rPr>
      </w:pPr>
    </w:p>
    <w:p w14:paraId="1B7C2290" w14:textId="048C26FF"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Charles E. sought judicial review of the Commissioner of Social Security’s denial of his applications for DIB and SSI. The District Court, W.D. New York, granted Charles E.’s motion and denied the Commissioner’s motion. </w:t>
      </w:r>
    </w:p>
    <w:p w14:paraId="199E6B1E" w14:textId="77777777" w:rsidR="00FE7D81" w:rsidRDefault="00FE7D81" w:rsidP="00DB68C9">
      <w:pPr>
        <w:pStyle w:val="BodyText"/>
        <w:spacing w:after="0"/>
        <w:rPr>
          <w:rFonts w:ascii="Book Antiqua" w:hAnsi="Book Antiqua"/>
          <w:sz w:val="26"/>
          <w:szCs w:val="26"/>
        </w:rPr>
      </w:pPr>
    </w:p>
    <w:p w14:paraId="0446A59D" w14:textId="4B1256F2"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remand was warranted </w:t>
      </w:r>
      <w:r w:rsidR="00917C6C">
        <w:rPr>
          <w:rFonts w:ascii="Book Antiqua" w:hAnsi="Book Antiqua"/>
          <w:sz w:val="26"/>
          <w:szCs w:val="26"/>
        </w:rPr>
        <w:t xml:space="preserve">to explain any </w:t>
      </w:r>
      <w:r w:rsidR="00BF4269">
        <w:rPr>
          <w:rFonts w:ascii="Book Antiqua" w:hAnsi="Book Antiqua"/>
          <w:sz w:val="26"/>
          <w:szCs w:val="26"/>
        </w:rPr>
        <w:t xml:space="preserve">further limitation in the RFC </w:t>
      </w:r>
      <w:r w:rsidRPr="00E411DA">
        <w:rPr>
          <w:rFonts w:ascii="Book Antiqua" w:hAnsi="Book Antiqua"/>
          <w:sz w:val="26"/>
          <w:szCs w:val="26"/>
        </w:rPr>
        <w:t xml:space="preserve">as it pertained to the claimant’s bathroom breaks. The written determination did not adequately </w:t>
      </w:r>
      <w:r w:rsidR="00BF4269">
        <w:rPr>
          <w:rFonts w:ascii="Book Antiqua" w:hAnsi="Book Antiqua"/>
          <w:sz w:val="26"/>
          <w:szCs w:val="26"/>
        </w:rPr>
        <w:t>describe</w:t>
      </w:r>
      <w:r w:rsidRPr="00E411DA">
        <w:rPr>
          <w:rFonts w:ascii="Book Antiqua" w:hAnsi="Book Antiqua"/>
          <w:sz w:val="26"/>
          <w:szCs w:val="26"/>
        </w:rPr>
        <w:t xml:space="preserve"> the limitation</w:t>
      </w:r>
      <w:r w:rsidR="009021DA">
        <w:rPr>
          <w:rFonts w:ascii="Book Antiqua" w:hAnsi="Book Antiqua"/>
          <w:sz w:val="26"/>
          <w:szCs w:val="26"/>
        </w:rPr>
        <w:t>,</w:t>
      </w:r>
      <w:r w:rsidRPr="00E411DA">
        <w:rPr>
          <w:rFonts w:ascii="Book Antiqua" w:hAnsi="Book Antiqua"/>
          <w:sz w:val="26"/>
          <w:szCs w:val="26"/>
        </w:rPr>
        <w:t xml:space="preserve"> providing that the claimant needed “reasonable access to a bathroom,” including how the limitation complied with the consultative examiner’s assessment that the claimant required frequent restroom breaks. </w:t>
      </w:r>
    </w:p>
    <w:p w14:paraId="5CF11BDE" w14:textId="77777777" w:rsidR="00DB68C9" w:rsidRPr="00E411DA" w:rsidRDefault="00DB68C9" w:rsidP="00DB68C9">
      <w:pPr>
        <w:pStyle w:val="FirstParagraph"/>
        <w:spacing w:after="0"/>
        <w:rPr>
          <w:rFonts w:ascii="Book Antiqua" w:hAnsi="Book Antiqua"/>
          <w:i/>
          <w:iCs/>
          <w:sz w:val="26"/>
          <w:szCs w:val="26"/>
        </w:rPr>
      </w:pPr>
      <w:bookmarkStart w:id="8" w:name="X13e1153869cb40d4f6872def785cec03e6076d2"/>
      <w:bookmarkEnd w:id="7"/>
    </w:p>
    <w:p w14:paraId="7678CEE5" w14:textId="2338E772" w:rsidR="001A2282" w:rsidRPr="00E411DA" w:rsidRDefault="00DB68C9" w:rsidP="0082761C">
      <w:pPr>
        <w:pStyle w:val="FirstParagraph"/>
        <w:numPr>
          <w:ilvl w:val="0"/>
          <w:numId w:val="15"/>
        </w:numPr>
        <w:spacing w:after="0"/>
        <w:rPr>
          <w:rFonts w:ascii="Book Antiqua" w:hAnsi="Book Antiqua"/>
          <w:sz w:val="26"/>
          <w:szCs w:val="26"/>
        </w:rPr>
      </w:pPr>
      <w:r w:rsidRPr="00E411DA">
        <w:rPr>
          <w:rFonts w:ascii="Book Antiqua" w:hAnsi="Book Antiqua"/>
          <w:i/>
          <w:iCs/>
          <w:sz w:val="26"/>
          <w:szCs w:val="26"/>
        </w:rPr>
        <w:t>Karen O. v. Comm’r of Soc. Sec.</w:t>
      </w:r>
      <w:r w:rsidRPr="00E411DA">
        <w:rPr>
          <w:rFonts w:ascii="Book Antiqua" w:hAnsi="Book Antiqua"/>
          <w:sz w:val="26"/>
          <w:szCs w:val="26"/>
        </w:rPr>
        <w:t xml:space="preserve">, 731 F.Supp.3d 926 (S.D. Ohio 2024) </w:t>
      </w:r>
    </w:p>
    <w:p w14:paraId="6963C463" w14:textId="77777777" w:rsidR="0082761C" w:rsidRPr="00E411DA" w:rsidRDefault="0082761C" w:rsidP="00DB68C9">
      <w:pPr>
        <w:pStyle w:val="BodyText"/>
        <w:spacing w:after="0"/>
        <w:rPr>
          <w:rFonts w:ascii="Book Antiqua" w:hAnsi="Book Antiqua"/>
          <w:sz w:val="26"/>
          <w:szCs w:val="26"/>
        </w:rPr>
      </w:pPr>
    </w:p>
    <w:p w14:paraId="13A62EE4" w14:textId="311A33C2"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Following Karen O.’s second successful judicial appeal of the Commissioner’s denial of DIB, her counsel moved for an award of attorney fees under 42 U.S.C. § 406(b) based on a pre-existing contingency fee agreement</w:t>
      </w:r>
      <w:r w:rsidR="009021DA">
        <w:rPr>
          <w:rFonts w:ascii="Book Antiqua" w:hAnsi="Book Antiqua"/>
          <w:sz w:val="26"/>
          <w:szCs w:val="26"/>
        </w:rPr>
        <w:t>: the</w:t>
      </w:r>
      <w:r w:rsidRPr="00E411DA">
        <w:rPr>
          <w:rFonts w:ascii="Book Antiqua" w:hAnsi="Book Antiqua"/>
          <w:sz w:val="26"/>
          <w:szCs w:val="26"/>
        </w:rPr>
        <w:t xml:space="preserve"> District Court, S.D. Ohio, Western Division, granted the motion in part, subject to modification. </w:t>
      </w:r>
    </w:p>
    <w:p w14:paraId="6549DFFE" w14:textId="77777777" w:rsidR="00FE7D81" w:rsidRDefault="00FE7D81" w:rsidP="00DB68C9">
      <w:pPr>
        <w:pStyle w:val="BodyText"/>
        <w:spacing w:after="0"/>
        <w:rPr>
          <w:rFonts w:ascii="Book Antiqua" w:hAnsi="Book Antiqua"/>
          <w:sz w:val="26"/>
          <w:szCs w:val="26"/>
        </w:rPr>
      </w:pPr>
    </w:p>
    <w:p w14:paraId="69619281" w14:textId="6D801245" w:rsidR="001A2282" w:rsidRPr="00E411DA" w:rsidRDefault="00DB68C9" w:rsidP="00DB68C9">
      <w:pPr>
        <w:pStyle w:val="BodyText"/>
        <w:spacing w:after="0"/>
        <w:rPr>
          <w:rFonts w:ascii="Book Antiqua" w:hAnsi="Book Antiqua"/>
          <w:sz w:val="26"/>
          <w:szCs w:val="26"/>
        </w:rPr>
      </w:pPr>
      <w:r w:rsidRPr="00E411DA">
        <w:rPr>
          <w:rFonts w:ascii="Book Antiqua" w:hAnsi="Book Antiqua"/>
          <w:sz w:val="26"/>
          <w:szCs w:val="26"/>
        </w:rPr>
        <w:t xml:space="preserve">The Court held that the motions for attorney fees for the first and second appeals should have been filed as a single motion following the grant of benefits on the second appeal. The Court also held that counsel’s affidavit rebutted the presumption that a lower EAJA rate should serve as a proxy for his standard rate. The total award sought by counsel was </w:t>
      </w:r>
      <w:r w:rsidRPr="00AF6837">
        <w:rPr>
          <w:rFonts w:ascii="Book Antiqua" w:hAnsi="Book Antiqua"/>
          <w:i/>
          <w:iCs/>
          <w:sz w:val="26"/>
          <w:szCs w:val="26"/>
        </w:rPr>
        <w:t>per se</w:t>
      </w:r>
      <w:r w:rsidRPr="00E411DA">
        <w:rPr>
          <w:rFonts w:ascii="Book Antiqua" w:hAnsi="Book Antiqua"/>
          <w:sz w:val="26"/>
          <w:szCs w:val="26"/>
        </w:rPr>
        <w:t xml:space="preserve"> reasonable</w:t>
      </w:r>
      <w:r w:rsidR="00F64194">
        <w:rPr>
          <w:rFonts w:ascii="Book Antiqua" w:hAnsi="Book Antiqua"/>
          <w:sz w:val="26"/>
          <w:szCs w:val="26"/>
        </w:rPr>
        <w:t xml:space="preserve">. However, the attorney failed to file for EAJA fees on the second appeal. The Court reduced the </w:t>
      </w:r>
      <w:r w:rsidRPr="00E411DA">
        <w:rPr>
          <w:rFonts w:ascii="Book Antiqua" w:hAnsi="Book Antiqua"/>
          <w:sz w:val="26"/>
          <w:szCs w:val="26"/>
        </w:rPr>
        <w:t xml:space="preserve">requested fee award by the hypothetical EAJA award counsel could have received for the second appeal. </w:t>
      </w:r>
      <w:bookmarkEnd w:id="8"/>
    </w:p>
    <w:sectPr w:rsidR="001A2282" w:rsidRPr="00E411DA" w:rsidSect="00745B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B41F" w14:textId="77777777" w:rsidR="00E43B4E" w:rsidRDefault="00E43B4E">
      <w:pPr>
        <w:spacing w:after="0" w:line="240" w:lineRule="auto"/>
      </w:pPr>
      <w:r>
        <w:separator/>
      </w:r>
    </w:p>
  </w:endnote>
  <w:endnote w:type="continuationSeparator" w:id="0">
    <w:p w14:paraId="29D20AD4" w14:textId="77777777" w:rsidR="00E43B4E" w:rsidRDefault="00E4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9338779"/>
      <w:docPartObj>
        <w:docPartGallery w:val="Page Numbers (Bottom of Page)"/>
        <w:docPartUnique/>
      </w:docPartObj>
    </w:sdtPr>
    <w:sdtEndPr>
      <w:rPr>
        <w:rStyle w:val="PageNumber"/>
      </w:rPr>
    </w:sdtEndPr>
    <w:sdtContent>
      <w:p w14:paraId="07B9081E" w14:textId="77777777" w:rsidR="00DB68C9" w:rsidRDefault="00DB68C9"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927DC" w14:textId="77777777" w:rsidR="00DB68C9" w:rsidRDefault="00DB68C9"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5545280"/>
      <w:docPartObj>
        <w:docPartGallery w:val="Page Numbers (Bottom of Page)"/>
        <w:docPartUnique/>
      </w:docPartObj>
    </w:sdtPr>
    <w:sdtEndPr>
      <w:rPr>
        <w:rStyle w:val="PageNumber"/>
      </w:rPr>
    </w:sdtEndPr>
    <w:sdtContent>
      <w:p w14:paraId="14859692" w14:textId="77777777" w:rsidR="00DB68C9" w:rsidRDefault="00DB68C9"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E23F9" w14:textId="77777777" w:rsidR="00DB68C9" w:rsidRDefault="00DB68C9"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8D70" w14:textId="77777777" w:rsidR="00DB68C9" w:rsidRDefault="00DB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4AD7" w14:textId="77777777" w:rsidR="00E43B4E" w:rsidRDefault="00E43B4E">
      <w:r>
        <w:separator/>
      </w:r>
    </w:p>
  </w:footnote>
  <w:footnote w:type="continuationSeparator" w:id="0">
    <w:p w14:paraId="3DAD9AD5" w14:textId="77777777" w:rsidR="00E43B4E" w:rsidRDefault="00E4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71DA" w14:textId="77777777" w:rsidR="00DB68C9" w:rsidRDefault="00DB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900B" w14:textId="77777777" w:rsidR="00DB68C9" w:rsidRDefault="00DB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EB0A" w14:textId="77777777" w:rsidR="00DB68C9" w:rsidRDefault="00DB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967EE39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B3068F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493CEE0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14EE58F8"/>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3"/>
    <w:multiLevelType w:val="multilevel"/>
    <w:tmpl w:val="A0DCA446"/>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5" w15:restartNumberingAfterBreak="0">
    <w:nsid w:val="00A99711"/>
    <w:multiLevelType w:val="multilevel"/>
    <w:tmpl w:val="0470BF7E"/>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6" w15:restartNumberingAfterBreak="0">
    <w:nsid w:val="6F235D3C"/>
    <w:multiLevelType w:val="hybridMultilevel"/>
    <w:tmpl w:val="C8C6ED72"/>
    <w:lvl w:ilvl="0" w:tplc="58C86D1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762987">
    <w:abstractNumId w:val="0"/>
  </w:num>
  <w:num w:numId="2" w16cid:durableId="2050376302">
    <w:abstractNumId w:val="1"/>
  </w:num>
  <w:num w:numId="3" w16cid:durableId="1052119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434821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261718641">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16cid:durableId="1956399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44733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16cid:durableId="57686005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1132866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17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736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268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385712">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16cid:durableId="198384909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 w16cid:durableId="1425490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82"/>
    <w:rsid w:val="000021C7"/>
    <w:rsid w:val="000B7848"/>
    <w:rsid w:val="001217D7"/>
    <w:rsid w:val="001A2282"/>
    <w:rsid w:val="004755F6"/>
    <w:rsid w:val="004D58BD"/>
    <w:rsid w:val="00584EC0"/>
    <w:rsid w:val="00652B50"/>
    <w:rsid w:val="006A7C5C"/>
    <w:rsid w:val="007101A2"/>
    <w:rsid w:val="00745B9F"/>
    <w:rsid w:val="00826E96"/>
    <w:rsid w:val="0082761C"/>
    <w:rsid w:val="0083652F"/>
    <w:rsid w:val="008673E9"/>
    <w:rsid w:val="009021DA"/>
    <w:rsid w:val="00917C6C"/>
    <w:rsid w:val="00A9161C"/>
    <w:rsid w:val="00AF6837"/>
    <w:rsid w:val="00BF4269"/>
    <w:rsid w:val="00D3351E"/>
    <w:rsid w:val="00DB68C9"/>
    <w:rsid w:val="00E411DA"/>
    <w:rsid w:val="00E43B4E"/>
    <w:rsid w:val="00EE09DA"/>
    <w:rsid w:val="00F64194"/>
    <w:rsid w:val="00FA4C62"/>
    <w:rsid w:val="00FE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0EE2"/>
  <w15:docId w15:val="{88E85218-2ECD-4BC6-87FD-CF52D018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5238">
      <w:bodyDiv w:val="1"/>
      <w:marLeft w:val="0"/>
      <w:marRight w:val="0"/>
      <w:marTop w:val="0"/>
      <w:marBottom w:val="0"/>
      <w:divBdr>
        <w:top w:val="none" w:sz="0" w:space="0" w:color="auto"/>
        <w:left w:val="none" w:sz="0" w:space="0" w:color="auto"/>
        <w:bottom w:val="none" w:sz="0" w:space="0" w:color="auto"/>
        <w:right w:val="none" w:sz="0" w:space="0" w:color="auto"/>
      </w:divBdr>
      <w:divsChild>
        <w:div w:id="1602833313">
          <w:marLeft w:val="0"/>
          <w:marRight w:val="0"/>
          <w:marTop w:val="0"/>
          <w:marBottom w:val="0"/>
          <w:divBdr>
            <w:top w:val="none" w:sz="0" w:space="0" w:color="auto"/>
            <w:left w:val="none" w:sz="0" w:space="0" w:color="auto"/>
            <w:bottom w:val="none" w:sz="0" w:space="0" w:color="auto"/>
            <w:right w:val="none" w:sz="0" w:space="0" w:color="auto"/>
          </w:divBdr>
        </w:div>
        <w:div w:id="1162161599">
          <w:marLeft w:val="-352"/>
          <w:marRight w:val="-352"/>
          <w:marTop w:val="0"/>
          <w:marBottom w:val="0"/>
          <w:divBdr>
            <w:top w:val="none" w:sz="0" w:space="0" w:color="auto"/>
            <w:left w:val="none" w:sz="0" w:space="0" w:color="auto"/>
            <w:bottom w:val="none" w:sz="0" w:space="0" w:color="auto"/>
            <w:right w:val="none" w:sz="0" w:space="0" w:color="auto"/>
          </w:divBdr>
          <w:divsChild>
            <w:div w:id="579483073">
              <w:marLeft w:val="0"/>
              <w:marRight w:val="0"/>
              <w:marTop w:val="0"/>
              <w:marBottom w:val="0"/>
              <w:divBdr>
                <w:top w:val="none" w:sz="0" w:space="0" w:color="auto"/>
                <w:left w:val="none" w:sz="0" w:space="0" w:color="auto"/>
                <w:bottom w:val="none" w:sz="0" w:space="0" w:color="auto"/>
                <w:right w:val="none" w:sz="0" w:space="0" w:color="auto"/>
              </w:divBdr>
              <w:divsChild>
                <w:div w:id="291208382">
                  <w:marLeft w:val="0"/>
                  <w:marRight w:val="0"/>
                  <w:marTop w:val="0"/>
                  <w:marBottom w:val="0"/>
                  <w:divBdr>
                    <w:top w:val="none" w:sz="0" w:space="0" w:color="auto"/>
                    <w:left w:val="none" w:sz="0" w:space="0" w:color="auto"/>
                    <w:bottom w:val="none" w:sz="0" w:space="0" w:color="auto"/>
                    <w:right w:val="none" w:sz="0" w:space="0" w:color="auto"/>
                  </w:divBdr>
                  <w:divsChild>
                    <w:div w:id="249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2075">
          <w:marLeft w:val="0"/>
          <w:marRight w:val="0"/>
          <w:marTop w:val="0"/>
          <w:marBottom w:val="0"/>
          <w:divBdr>
            <w:top w:val="none" w:sz="0" w:space="0" w:color="auto"/>
            <w:left w:val="none" w:sz="0" w:space="0" w:color="auto"/>
            <w:bottom w:val="none" w:sz="0" w:space="0" w:color="auto"/>
            <w:right w:val="none" w:sz="0" w:space="0" w:color="auto"/>
          </w:divBdr>
        </w:div>
      </w:divsChild>
    </w:div>
    <w:div w:id="984358385">
      <w:bodyDiv w:val="1"/>
      <w:marLeft w:val="0"/>
      <w:marRight w:val="0"/>
      <w:marTop w:val="0"/>
      <w:marBottom w:val="0"/>
      <w:divBdr>
        <w:top w:val="none" w:sz="0" w:space="0" w:color="auto"/>
        <w:left w:val="none" w:sz="0" w:space="0" w:color="auto"/>
        <w:bottom w:val="none" w:sz="0" w:space="0" w:color="auto"/>
        <w:right w:val="none" w:sz="0" w:space="0" w:color="auto"/>
      </w:divBdr>
      <w:divsChild>
        <w:div w:id="1536652779">
          <w:marLeft w:val="0"/>
          <w:marRight w:val="0"/>
          <w:marTop w:val="0"/>
          <w:marBottom w:val="0"/>
          <w:divBdr>
            <w:top w:val="none" w:sz="0" w:space="0" w:color="auto"/>
            <w:left w:val="none" w:sz="0" w:space="0" w:color="auto"/>
            <w:bottom w:val="none" w:sz="0" w:space="0" w:color="auto"/>
            <w:right w:val="none" w:sz="0" w:space="0" w:color="auto"/>
          </w:divBdr>
        </w:div>
        <w:div w:id="2110855850">
          <w:marLeft w:val="-352"/>
          <w:marRight w:val="-352"/>
          <w:marTop w:val="0"/>
          <w:marBottom w:val="0"/>
          <w:divBdr>
            <w:top w:val="none" w:sz="0" w:space="0" w:color="auto"/>
            <w:left w:val="none" w:sz="0" w:space="0" w:color="auto"/>
            <w:bottom w:val="none" w:sz="0" w:space="0" w:color="auto"/>
            <w:right w:val="none" w:sz="0" w:space="0" w:color="auto"/>
          </w:divBdr>
          <w:divsChild>
            <w:div w:id="437137324">
              <w:marLeft w:val="0"/>
              <w:marRight w:val="0"/>
              <w:marTop w:val="0"/>
              <w:marBottom w:val="0"/>
              <w:divBdr>
                <w:top w:val="none" w:sz="0" w:space="0" w:color="auto"/>
                <w:left w:val="none" w:sz="0" w:space="0" w:color="auto"/>
                <w:bottom w:val="none" w:sz="0" w:space="0" w:color="auto"/>
                <w:right w:val="none" w:sz="0" w:space="0" w:color="auto"/>
              </w:divBdr>
              <w:divsChild>
                <w:div w:id="1217814515">
                  <w:marLeft w:val="0"/>
                  <w:marRight w:val="0"/>
                  <w:marTop w:val="0"/>
                  <w:marBottom w:val="0"/>
                  <w:divBdr>
                    <w:top w:val="none" w:sz="0" w:space="0" w:color="auto"/>
                    <w:left w:val="none" w:sz="0" w:space="0" w:color="auto"/>
                    <w:bottom w:val="none" w:sz="0" w:space="0" w:color="auto"/>
                    <w:right w:val="none" w:sz="0" w:space="0" w:color="auto"/>
                  </w:divBdr>
                  <w:divsChild>
                    <w:div w:id="15141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5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6867</Characters>
  <Application>Microsoft Office Word</Application>
  <DocSecurity>0</DocSecurity>
  <Lines>149</Lines>
  <Paragraphs>36</Paragraphs>
  <ScaleCrop>false</ScaleCrop>
  <HeadingPairs>
    <vt:vector size="2" baseType="variant">
      <vt:variant>
        <vt:lpstr>Title</vt:lpstr>
      </vt:variant>
      <vt:variant>
        <vt:i4>1</vt:i4>
      </vt:variant>
    </vt:vector>
  </HeadingPairs>
  <TitlesOfParts>
    <vt:vector size="1" baseType="lpstr">
      <vt:lpstr>Review Documents (Short Answers Only)</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Krause</dc:creator>
  <cp:keywords/>
  <cp:lastModifiedBy>Tom Krause</cp:lastModifiedBy>
  <cp:revision>2</cp:revision>
  <dcterms:created xsi:type="dcterms:W3CDTF">2024-12-19T15:32:00Z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ddfcce3b7f221381a737e75f6829353370507fa07c731aad49b6826194765610</vt:lpwstr>
  </property>
</Properties>
</file>