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b/>
          <w:bCs/>
          <w:color w:val="1F3A5F"/>
          <w:sz w:val="28"/>
          <w:szCs w:val="28"/>
        </w:rPr>
        <w:t xml:space="preserve">MEDICAL SOURCE STATEMENT OF CHILD’S FUNCTIONING (SSI)</w:t>
      </w:r>
    </w:p>
    <w:p>
      <w:pPr>
        <w:spacing w:after="120"/>
        <w:jc w:val="center"/>
      </w:pPr>
      <w:r>
        <w:rPr>
          <w:b/>
          <w:bCs/>
          <w:color w:val="1F3A5F"/>
          <w:sz w:val="21"/>
          <w:szCs w:val="21"/>
        </w:rPr>
        <w:t xml:space="preserve">Adolescents (Age 12 to Attainment of Age 18)</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700"/>
        <w:gridCol w:w="3340"/>
        <w:gridCol w:w="1700"/>
        <w:gridCol w:w="3340"/>
      </w:tblGrid>
      <w:tr>
        <w:trPr>
          <w:trHeight w:val="380" w:hRule="atLeast"/>
        </w:trPr>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Child’s name</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Date of birth</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80" w:hRule="atLeast"/>
        </w:trPr>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Age</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Parent / guardian</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80" w:hRule="atLeast"/>
        </w:trPr>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Return by (date)</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Return to</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100"/>
      </w:pPr>
    </w:p>
    <w:p>
      <w:pPr>
        <w:spacing w:after="100" w:before="0"/>
      </w:pPr>
      <w:r>
        <w:rPr>
          <w:b/>
          <w:bCs/>
          <w:sz w:val="19"/>
          <w:szCs w:val="19"/>
        </w:rPr>
        <w:t xml:space="preserve">Instructions. </w:t>
      </w:r>
      <w:r>
        <w:rPr>
          <w:sz w:val="19"/>
          <w:szCs w:val="19"/>
        </w:rPr>
        <w:t xml:space="preserve">SSA compares the child’s functioning with that of other children the same age who do not have impairments, looking at “how appropriately, effectively, and independently” the child performs activities (20 CFR 416.926a(b)). For each of the six domains below, SSA’s regulatory description is quoted (“you” means the child). Please rate only limitations caused by the child’s medically determinable impairment(s), considering all impairments together, and consider how the child would function without extra help, supervision, medication, or a structured or supportive setting (20 CFR 416.924a(b)(5)). Check “Unable to assess” rather than estimating. Your explanations are the most important part of this form; please cite supporting findings, test results, and observations, and attach additional pages or records if needed.</w:t>
      </w:r>
    </w:p>
    <w:p>
      <w:pPr>
        <w:spacing w:after="100" w:before="0"/>
      </w:pPr>
      <w:r>
        <w:rPr>
          <w:b/>
          <w:bCs/>
          <w:sz w:val="19"/>
          <w:szCs w:val="19"/>
        </w:rPr>
        <w:t xml:space="preserve">How SSA uses the ratings. </w:t>
      </w:r>
      <w:r>
        <w:rPr>
          <w:sz w:val="19"/>
          <w:szCs w:val="19"/>
        </w:rPr>
        <w:t xml:space="preserve">A child’s impairment(s) “functionally equals the listings” if it results in “marked” limitations in two domains or an “extreme” limitation in one domain (20 CFR 416.926a(a), (d)). “Less than marked” means a limitation exists but does not rise to the level defined below.</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Marked </w:t>
            </w:r>
            <w:r>
              <w:rPr>
                <w:i/>
                <w:iCs/>
                <w:sz w:val="18"/>
                <w:szCs w:val="18"/>
              </w:rPr>
              <w:t xml:space="preserve">(20 CFR 416.926a(e)(2)): </w:t>
            </w:r>
            <w:r>
              <w:rPr>
                <w:sz w:val="18"/>
                <w:szCs w:val="18"/>
              </w:rPr>
              <w:t xml:space="preserve">“. . . your impairment(s) interferes seriously with your ability to independently initiate, sustain, or complete activities. . . . ‘Marked’ limitation also means a limitation that is ‘more than moderate’ but ‘less than extreme.’ It is the equivalent of the functioning we would expect to find on standardized testing with scores that are at least two, but less than three, standard deviations below the mean.”</w:t>
            </w:r>
          </w:p>
          <w:p>
            <w:pPr>
              <w:spacing w:after="60" w:before="0"/>
            </w:pPr>
            <w:r>
              <w:rPr>
                <w:b/>
                <w:bCs/>
                <w:sz w:val="18"/>
                <w:szCs w:val="18"/>
              </w:rPr>
              <w:t xml:space="preserve">Extreme </w:t>
            </w:r>
            <w:r>
              <w:rPr>
                <w:i/>
                <w:iCs/>
                <w:sz w:val="18"/>
                <w:szCs w:val="18"/>
              </w:rPr>
              <w:t xml:space="preserve">(20 CFR 416.926a(e)(3)): </w:t>
            </w:r>
            <w:r>
              <w:rPr>
                <w:sz w:val="18"/>
                <w:szCs w:val="18"/>
              </w:rPr>
              <w:t xml:space="preserve">“. . . your impairment(s) interferes very seriously with your ability to independently initiate, sustain, or complete activities. . . . ‘Extreme’ limitation is the rating we give to the worst limitations. However, ‘extreme limitation’ does not necessarily mean a total lack or loss of ability to function. It is the equivalent of the functioning we would expect to find on standardized testing with scores that are at least three standard deviations below the mean.”</w:t>
            </w:r>
          </w:p>
          <w:p>
            <w:pPr>
              <w:spacing w:after="20" w:before="0"/>
            </w:pPr>
            <w:r>
              <w:rPr>
                <w:b/>
                <w:bCs/>
                <w:sz w:val="18"/>
                <w:szCs w:val="18"/>
              </w:rPr>
              <w:t xml:space="preserve">Test scores </w:t>
            </w:r>
            <w:r>
              <w:rPr>
                <w:i/>
                <w:iCs/>
                <w:sz w:val="18"/>
                <w:szCs w:val="18"/>
              </w:rPr>
              <w:t xml:space="preserve">(416.926a(e)(4)): </w:t>
            </w:r>
            <w:r>
              <w:rPr>
                <w:sz w:val="18"/>
                <w:szCs w:val="18"/>
              </w:rPr>
              <w:t xml:space="preserve">SSA will not rely on a test score alone; scores are considered with the child’s day-to-day functioning.</w:t>
            </w:r>
          </w:p>
        </w:tc>
      </w:tr>
    </w:tbl>
    <w:p>
      <w:r>
        <w:br w:type="page"/>
      </w:r>
    </w:p>
    <w:p>
      <w:pPr>
        <w:pStyle w:val="Heading1"/>
        <w:keepNext/>
        <w:spacing w:after="120" w:before="120"/>
      </w:pPr>
      <w:r>
        <w:t xml:space="preserve">Part A. Treatment, Diagnoses, and Testing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700"/>
        <w:gridCol w:w="3340"/>
        <w:gridCol w:w="1700"/>
        <w:gridCol w:w="3340"/>
      </w:tblGrid>
      <w:tr>
        <w:trPr>
          <w:trHeight w:val="380" w:hRule="atLeast"/>
        </w:trPr>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Your name / specialty</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Treating since</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80" w:hRule="atLeast"/>
        </w:trPr>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Visit frequency</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Most recent visit</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680"/>
        <w:gridCol w:w="1600"/>
        <w:gridCol w:w="2800"/>
      </w:tblGrid>
      <w:tr>
        <w:trPr>
          <w:tblHeader/>
        </w:trPr>
        <w:tc>
          <w:tcPr>
            <w:tcW w:type="dxa" w:w="56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Diagnoses</w:t>
            </w:r>
          </w:p>
        </w:tc>
        <w:tc>
          <w:tcPr>
            <w:tcW w:type="dxa" w:w="16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ICD-10</w:t>
            </w:r>
          </w:p>
        </w:tc>
        <w:tc>
          <w:tcPr>
            <w:tcW w:type="dxa" w:w="28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Onset / date diagnosed</w:t>
            </w:r>
          </w:p>
        </w:tc>
      </w:tr>
      <w:tr>
        <w:trPr>
          <w:trHeight w:val="360" w:hRule="atLeast"/>
        </w:trPr>
        <w:tc>
          <w:tcPr>
            <w:tcW w:type="dxa" w:w="56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28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60" w:hRule="atLeast"/>
        </w:trPr>
        <w:tc>
          <w:tcPr>
            <w:tcW w:type="dxa" w:w="56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28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60" w:hRule="atLeast"/>
        </w:trPr>
        <w:tc>
          <w:tcPr>
            <w:tcW w:type="dxa" w:w="56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28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60" w:hRule="atLeast"/>
        </w:trPr>
        <w:tc>
          <w:tcPr>
            <w:tcW w:type="dxa" w:w="56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28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280"/>
        <w:gridCol w:w="1200"/>
        <w:gridCol w:w="4600"/>
      </w:tblGrid>
      <w:tr>
        <w:trPr>
          <w:tblHeader/>
        </w:trPr>
        <w:tc>
          <w:tcPr>
            <w:tcW w:type="dxa" w:w="42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Standardized test (developmental, cognitive, achievement, speech, adaptive, motor)</w:t>
            </w:r>
          </w:p>
        </w:tc>
        <w:tc>
          <w:tcPr>
            <w:tcW w:type="dxa" w:w="12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Date</w:t>
            </w:r>
          </w:p>
        </w:tc>
        <w:tc>
          <w:tcPr>
            <w:tcW w:type="dxa" w:w="46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Scores (standard score, SD, percentile, or age equivalent)</w:t>
            </w:r>
          </w:p>
        </w:tc>
      </w:tr>
      <w:tr>
        <w:trPr>
          <w:trHeight w:val="38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2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8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2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8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2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280"/>
        <w:gridCol w:w="1500"/>
        <w:gridCol w:w="4300"/>
      </w:tblGrid>
      <w:tr>
        <w:trPr>
          <w:tblHeader/>
        </w:trPr>
        <w:tc>
          <w:tcPr>
            <w:tcW w:type="dxa" w:w="42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Medications and other treatment (therapies, early intervention, special education)</w:t>
            </w:r>
          </w:p>
        </w:tc>
        <w:tc>
          <w:tcPr>
            <w:tcW w:type="dxa" w:w="15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Frequency</w:t>
            </w:r>
          </w:p>
        </w:tc>
        <w:tc>
          <w:tcPr>
            <w:tcW w:type="dxa" w:w="43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Benefits / side effects affecting functioning</w:t>
            </w:r>
          </w:p>
        </w:tc>
      </w:tr>
      <w:tr>
        <w:trPr>
          <w:trHeight w:val="36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5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3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6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5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3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6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5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3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6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5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3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Key clinical findings and signs, hospitalizations or surgeries in the past two years, and prognosis:</w:t>
            </w:r>
          </w:p>
        </w:tc>
      </w:tr>
      <w:tr>
        <w:trPr>
          <w:trHeight w:val="150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r>
        <w:br w:type="page"/>
      </w:r>
    </w:p>
    <w:p>
      <w:pPr>
        <w:pStyle w:val="Heading1"/>
        <w:keepNext/>
        <w:spacing w:after="120" w:before="120"/>
      </w:pPr>
      <w:r>
        <w:t xml:space="preserve">Domain 1: Acquiring and Using Information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Definition </w:t>
            </w:r>
            <w:r>
              <w:rPr>
                <w:i/>
                <w:iCs/>
                <w:sz w:val="18"/>
                <w:szCs w:val="18"/>
              </w:rPr>
              <w:t xml:space="preserve">(20 CFR 416.926a(g); SSR 09-3p; POMS DI 25225.030): </w:t>
            </w:r>
            <w:r>
              <w:rPr>
                <w:sz w:val="18"/>
                <w:szCs w:val="18"/>
              </w:rPr>
              <w:t xml:space="preserve">“In this domain, we consider how well you acquire or learn information, and how well you use the information you have learned.”</w:t>
            </w:r>
          </w:p>
          <w:p>
            <w:pPr>
              <w:spacing w:after="20" w:before="0"/>
            </w:pPr>
            <w:r>
              <w:rPr>
                <w:b/>
                <w:bCs/>
                <w:sz w:val="18"/>
                <w:szCs w:val="18"/>
              </w:rPr>
              <w:t xml:space="preserve">Typical functioning at this age </w:t>
            </w:r>
            <w:r>
              <w:rPr>
                <w:i/>
                <w:iCs/>
                <w:sz w:val="18"/>
                <w:szCs w:val="18"/>
              </w:rPr>
              <w:t xml:space="preserve">(416.926a(g)(2)(v)): </w:t>
            </w:r>
            <w:r>
              <w:rPr>
                <w:sz w:val="18"/>
                <w:szCs w:val="18"/>
              </w:rPr>
              <w:t xml:space="preserve">“In middle and high school, you should continue to demonstrate what you have learned in academic assignments (e.g., composition, classroom discussion, and laboratory experiments). You should also be able to use what you have learned in daily living situations without assistance (e.g., going to the store, using the library, and using public transportation). You should be able to comprehend and express both simple and complex ideas, using increasingly complex language (vocabulary and grammar) in learning and daily living situations (e.g., to obtain and convey information and ideas). You should also learn to apply these skills in practical ways that will help you enter the workplace after you finish school (e.g., carrying out instructions, preparing a job application, or being interviewed by a potential employer).”</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7F8C99" w:sz="4"/>
              <w:left w:val="single" w:color="7F8C99" w:sz="4"/>
              <w:bottom w:val="single" w:color="7F8C99" w:sz="4"/>
              <w:right w:val="single" w:color="7F8C99" w:sz="4"/>
            </w:tcBorders>
            <w:shd w:fill="FFF4D6" w:color="auto" w:val="clear"/>
            <w:tcMar>
              <w:top w:type="dxa" w:w="70"/>
              <w:left w:type="dxa" w:w="110"/>
              <w:bottom w:type="dxa" w:w="70"/>
              <w:right w:type="dxa" w:w="110"/>
            </w:tcMar>
          </w:tcPr>
          <w:p>
            <w:pPr>
              <w:spacing w:after="40" w:before="0"/>
            </w:pPr>
            <w:r>
              <w:rPr>
                <w:b/>
                <w:bCs/>
                <w:sz w:val="18"/>
                <w:szCs w:val="18"/>
              </w:rPr>
              <w:t xml:space="preserve">Overall rating — Acquiring and Using Information: </w:t>
            </w:r>
            <w:r>
              <w:rPr>
                <w:sz w:val="18"/>
                <w:szCs w:val="18"/>
              </w:rPr>
              <w:t xml:space="preserve">considering all impairments together, the child’s limitation in this domain is:</w:t>
            </w:r>
          </w:p>
          <w:p>
            <w:pPr>
              <w:spacing w:after="0" w:before="0"/>
            </w:pPr>
            <w:r>
              <w:rPr>
                <w:rFonts w:ascii="Segoe UI Symbol" w:cs="Segoe UI Symbol" w:eastAsia="Segoe UI Symbol" w:hAnsi="Segoe UI Symbol"/>
              </w:rPr>
              <w:t xml:space="preserve">☐</w:t>
            </w:r>
            <w:r>
              <w:rPr>
                <w:sz w:val="19"/>
                <w:szCs w:val="19"/>
              </w:rPr>
              <w:t xml:space="preserve"> None      </w:t>
            </w:r>
            <w:r>
              <w:rPr>
                <w:rFonts w:ascii="Segoe UI Symbol" w:cs="Segoe UI Symbol" w:eastAsia="Segoe UI Symbol" w:hAnsi="Segoe UI Symbol"/>
              </w:rPr>
              <w:t xml:space="preserve">☐</w:t>
            </w:r>
            <w:r>
              <w:rPr>
                <w:sz w:val="19"/>
                <w:szCs w:val="19"/>
              </w:rPr>
              <w:t xml:space="preserve"> Less than marked      </w:t>
            </w:r>
            <w:r>
              <w:rPr>
                <w:rFonts w:ascii="Segoe UI Symbol" w:cs="Segoe UI Symbol" w:eastAsia="Segoe UI Symbol" w:hAnsi="Segoe UI Symbol"/>
              </w:rPr>
              <w:t xml:space="preserve">☐</w:t>
            </w:r>
            <w:r>
              <w:rPr>
                <w:sz w:val="19"/>
                <w:szCs w:val="19"/>
              </w:rPr>
              <w:t xml:space="preserve"> Marked      </w:t>
            </w:r>
            <w:r>
              <w:rPr>
                <w:rFonts w:ascii="Segoe UI Symbol" w:cs="Segoe UI Symbol" w:eastAsia="Segoe UI Symbol" w:hAnsi="Segoe UI Symbol"/>
              </w:rPr>
              <w:t xml:space="preserve">☐</w:t>
            </w:r>
            <w:r>
              <w:rPr>
                <w:sz w:val="19"/>
                <w:szCs w:val="19"/>
              </w:rPr>
              <w:t xml:space="preserve"> Extreme      </w:t>
            </w:r>
            <w:r>
              <w:rPr>
                <w:rFonts w:ascii="Segoe UI Symbol" w:cs="Segoe UI Symbol" w:eastAsia="Segoe UI Symbol" w:hAnsi="Segoe UI Symbol"/>
              </w:rPr>
              <w:t xml:space="preserve">☐</w:t>
            </w:r>
            <w:r>
              <w:rPr>
                <w:sz w:val="19"/>
                <w:szCs w:val="19"/>
              </w:rPr>
              <w:t xml:space="preserve"> Unable to assess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Explain your rating: supporting findings, test results, observations, and reports, and any help, supervision, adaptations, or structured setting the child needs:</w:t>
            </w:r>
          </w:p>
        </w:tc>
      </w:tr>
      <w:tr>
        <w:trPr>
          <w:trHeight w:val="205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160"/>
      </w:pPr>
    </w:p>
    <w:p>
      <w:pPr>
        <w:pStyle w:val="Heading1"/>
        <w:keepNext/>
        <w:spacing w:after="120" w:before="120"/>
      </w:pPr>
      <w:r>
        <w:t xml:space="preserve">Domain 2: Attending and Completing Tasks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Definition </w:t>
            </w:r>
            <w:r>
              <w:rPr>
                <w:i/>
                <w:iCs/>
                <w:sz w:val="18"/>
                <w:szCs w:val="18"/>
              </w:rPr>
              <w:t xml:space="preserve">(20 CFR 416.926a(h); SSR 09-4p; POMS DI 25225.035): </w:t>
            </w:r>
            <w:r>
              <w:rPr>
                <w:sz w:val="18"/>
                <w:szCs w:val="18"/>
              </w:rPr>
              <w:t xml:space="preserve">“In this domain, we consider how well you are able to focus and maintain your attention, and how well you begin, carry through, and finish your activities, including the pace at which you perform activities and the ease with which you change them.”</w:t>
            </w:r>
          </w:p>
          <w:p>
            <w:pPr>
              <w:spacing w:after="20" w:before="0"/>
            </w:pPr>
            <w:r>
              <w:rPr>
                <w:b/>
                <w:bCs/>
                <w:sz w:val="18"/>
                <w:szCs w:val="18"/>
              </w:rPr>
              <w:t xml:space="preserve">Typical functioning at this age </w:t>
            </w:r>
            <w:r>
              <w:rPr>
                <w:i/>
                <w:iCs/>
                <w:sz w:val="18"/>
                <w:szCs w:val="18"/>
              </w:rPr>
              <w:t xml:space="preserve">(416.926a(h)(2)(v)): </w:t>
            </w:r>
            <w:r>
              <w:rPr>
                <w:sz w:val="18"/>
                <w:szCs w:val="18"/>
              </w:rPr>
              <w:t xml:space="preserve">“In your later years of school, you should be able to pay attention to increasingly longer presentations and discussions, maintain your concentration while reading textbooks, and independently plan and complete long-range academic projects. You should also be able to organize your materials and to plan your time in order to complete school tasks and assignments. In anticipation of entering the workplace, you should be able to maintain your attention on a task for extended periods of time, and not be unduly distracted by your peers or unduly distracting to them in a school or work setting.”</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7F8C99" w:sz="4"/>
              <w:left w:val="single" w:color="7F8C99" w:sz="4"/>
              <w:bottom w:val="single" w:color="7F8C99" w:sz="4"/>
              <w:right w:val="single" w:color="7F8C99" w:sz="4"/>
            </w:tcBorders>
            <w:shd w:fill="FFF4D6" w:color="auto" w:val="clear"/>
            <w:tcMar>
              <w:top w:type="dxa" w:w="70"/>
              <w:left w:type="dxa" w:w="110"/>
              <w:bottom w:type="dxa" w:w="70"/>
              <w:right w:type="dxa" w:w="110"/>
            </w:tcMar>
          </w:tcPr>
          <w:p>
            <w:pPr>
              <w:spacing w:after="40" w:before="0"/>
            </w:pPr>
            <w:r>
              <w:rPr>
                <w:b/>
                <w:bCs/>
                <w:sz w:val="18"/>
                <w:szCs w:val="18"/>
              </w:rPr>
              <w:t xml:space="preserve">Overall rating — Attending and Completing Tasks: </w:t>
            </w:r>
            <w:r>
              <w:rPr>
                <w:sz w:val="18"/>
                <w:szCs w:val="18"/>
              </w:rPr>
              <w:t xml:space="preserve">considering all impairments together, the child’s limitation in this domain is:</w:t>
            </w:r>
          </w:p>
          <w:p>
            <w:pPr>
              <w:spacing w:after="0" w:before="0"/>
            </w:pPr>
            <w:r>
              <w:rPr>
                <w:rFonts w:ascii="Segoe UI Symbol" w:cs="Segoe UI Symbol" w:eastAsia="Segoe UI Symbol" w:hAnsi="Segoe UI Symbol"/>
              </w:rPr>
              <w:t xml:space="preserve">☐</w:t>
            </w:r>
            <w:r>
              <w:rPr>
                <w:sz w:val="19"/>
                <w:szCs w:val="19"/>
              </w:rPr>
              <w:t xml:space="preserve"> None      </w:t>
            </w:r>
            <w:r>
              <w:rPr>
                <w:rFonts w:ascii="Segoe UI Symbol" w:cs="Segoe UI Symbol" w:eastAsia="Segoe UI Symbol" w:hAnsi="Segoe UI Symbol"/>
              </w:rPr>
              <w:t xml:space="preserve">☐</w:t>
            </w:r>
            <w:r>
              <w:rPr>
                <w:sz w:val="19"/>
                <w:szCs w:val="19"/>
              </w:rPr>
              <w:t xml:space="preserve"> Less than marked      </w:t>
            </w:r>
            <w:r>
              <w:rPr>
                <w:rFonts w:ascii="Segoe UI Symbol" w:cs="Segoe UI Symbol" w:eastAsia="Segoe UI Symbol" w:hAnsi="Segoe UI Symbol"/>
              </w:rPr>
              <w:t xml:space="preserve">☐</w:t>
            </w:r>
            <w:r>
              <w:rPr>
                <w:sz w:val="19"/>
                <w:szCs w:val="19"/>
              </w:rPr>
              <w:t xml:space="preserve"> Marked      </w:t>
            </w:r>
            <w:r>
              <w:rPr>
                <w:rFonts w:ascii="Segoe UI Symbol" w:cs="Segoe UI Symbol" w:eastAsia="Segoe UI Symbol" w:hAnsi="Segoe UI Symbol"/>
              </w:rPr>
              <w:t xml:space="preserve">☐</w:t>
            </w:r>
            <w:r>
              <w:rPr>
                <w:sz w:val="19"/>
                <w:szCs w:val="19"/>
              </w:rPr>
              <w:t xml:space="preserve"> Extreme      </w:t>
            </w:r>
            <w:r>
              <w:rPr>
                <w:rFonts w:ascii="Segoe UI Symbol" w:cs="Segoe UI Symbol" w:eastAsia="Segoe UI Symbol" w:hAnsi="Segoe UI Symbol"/>
              </w:rPr>
              <w:t xml:space="preserve">☐</w:t>
            </w:r>
            <w:r>
              <w:rPr>
                <w:sz w:val="19"/>
                <w:szCs w:val="19"/>
              </w:rPr>
              <w:t xml:space="preserve"> Unable to assess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Explain your rating: supporting findings, test results, observations, and reports, and any help, supervision, adaptations, or structured setting the child needs:</w:t>
            </w:r>
          </w:p>
        </w:tc>
      </w:tr>
      <w:tr>
        <w:trPr>
          <w:trHeight w:val="205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r>
        <w:br w:type="page"/>
      </w:r>
    </w:p>
    <w:p>
      <w:pPr>
        <w:pStyle w:val="Heading1"/>
        <w:keepNext/>
        <w:spacing w:after="120" w:before="120"/>
      </w:pPr>
      <w:r>
        <w:t xml:space="preserve">Domain 3: Interacting and Relating with Others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Definition </w:t>
            </w:r>
            <w:r>
              <w:rPr>
                <w:i/>
                <w:iCs/>
                <w:sz w:val="18"/>
                <w:szCs w:val="18"/>
              </w:rPr>
              <w:t xml:space="preserve">(20 CFR 416.926a(i); SSR 09-5p; POMS DI 25225.040): </w:t>
            </w:r>
            <w:r>
              <w:rPr>
                <w:sz w:val="18"/>
                <w:szCs w:val="18"/>
              </w:rPr>
              <w:t xml:space="preserve">“In this domain, we consider how well you initiate and sustain emotional connections with others, develop and use the language of your community, cooperate with others, comply with rules, respond to criticism, and respect and take care of the possessions of others.”</w:t>
            </w:r>
          </w:p>
          <w:p>
            <w:pPr>
              <w:spacing w:after="20" w:before="0"/>
            </w:pPr>
            <w:r>
              <w:rPr>
                <w:b/>
                <w:bCs/>
                <w:sz w:val="18"/>
                <w:szCs w:val="18"/>
              </w:rPr>
              <w:t xml:space="preserve">Typical functioning at this age </w:t>
            </w:r>
            <w:r>
              <w:rPr>
                <w:i/>
                <w:iCs/>
                <w:sz w:val="18"/>
                <w:szCs w:val="18"/>
              </w:rPr>
              <w:t xml:space="preserve">(416.926a(i)(2)(v)): </w:t>
            </w:r>
            <w:r>
              <w:rPr>
                <w:sz w:val="18"/>
                <w:szCs w:val="18"/>
              </w:rPr>
              <w:t xml:space="preserve">“By the time you reach adolescence, you should be able to initiate and develop friendships with children who are your age and to relate appropriately to other children and adults, both individually and in groups. You should begin to be able to solve conflicts between yourself and peers or family members or adults outside your family. You should recognize that there are different social rules for you and your friends and for acquaintances or adults. You should be able to intelligibly express your feelings, ask for assistance in getting your needs met, seek information, describe events, and tell stories, in all kinds of environments (e.g., home, classroom, sports, extra-curricular activities, or part-time job), and with all types of people (e.g., parents, siblings, friends, classmates, teachers, employers, and strangers).”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7F8C99" w:sz="4"/>
              <w:left w:val="single" w:color="7F8C99" w:sz="4"/>
              <w:bottom w:val="single" w:color="7F8C99" w:sz="4"/>
              <w:right w:val="single" w:color="7F8C99" w:sz="4"/>
            </w:tcBorders>
            <w:shd w:fill="FFF4D6" w:color="auto" w:val="clear"/>
            <w:tcMar>
              <w:top w:type="dxa" w:w="70"/>
              <w:left w:type="dxa" w:w="110"/>
              <w:bottom w:type="dxa" w:w="70"/>
              <w:right w:type="dxa" w:w="110"/>
            </w:tcMar>
          </w:tcPr>
          <w:p>
            <w:pPr>
              <w:spacing w:after="40" w:before="0"/>
            </w:pPr>
            <w:r>
              <w:rPr>
                <w:b/>
                <w:bCs/>
                <w:sz w:val="18"/>
                <w:szCs w:val="18"/>
              </w:rPr>
              <w:t xml:space="preserve">Overall rating — Interacting and Relating with Others: </w:t>
            </w:r>
            <w:r>
              <w:rPr>
                <w:sz w:val="18"/>
                <w:szCs w:val="18"/>
              </w:rPr>
              <w:t xml:space="preserve">considering all impairments together, the child’s limitation in this domain is:</w:t>
            </w:r>
          </w:p>
          <w:p>
            <w:pPr>
              <w:spacing w:after="0" w:before="0"/>
            </w:pPr>
            <w:r>
              <w:rPr>
                <w:rFonts w:ascii="Segoe UI Symbol" w:cs="Segoe UI Symbol" w:eastAsia="Segoe UI Symbol" w:hAnsi="Segoe UI Symbol"/>
              </w:rPr>
              <w:t xml:space="preserve">☐</w:t>
            </w:r>
            <w:r>
              <w:rPr>
                <w:sz w:val="19"/>
                <w:szCs w:val="19"/>
              </w:rPr>
              <w:t xml:space="preserve"> None      </w:t>
            </w:r>
            <w:r>
              <w:rPr>
                <w:rFonts w:ascii="Segoe UI Symbol" w:cs="Segoe UI Symbol" w:eastAsia="Segoe UI Symbol" w:hAnsi="Segoe UI Symbol"/>
              </w:rPr>
              <w:t xml:space="preserve">☐</w:t>
            </w:r>
            <w:r>
              <w:rPr>
                <w:sz w:val="19"/>
                <w:szCs w:val="19"/>
              </w:rPr>
              <w:t xml:space="preserve"> Less than marked      </w:t>
            </w:r>
            <w:r>
              <w:rPr>
                <w:rFonts w:ascii="Segoe UI Symbol" w:cs="Segoe UI Symbol" w:eastAsia="Segoe UI Symbol" w:hAnsi="Segoe UI Symbol"/>
              </w:rPr>
              <w:t xml:space="preserve">☐</w:t>
            </w:r>
            <w:r>
              <w:rPr>
                <w:sz w:val="19"/>
                <w:szCs w:val="19"/>
              </w:rPr>
              <w:t xml:space="preserve"> Marked      </w:t>
            </w:r>
            <w:r>
              <w:rPr>
                <w:rFonts w:ascii="Segoe UI Symbol" w:cs="Segoe UI Symbol" w:eastAsia="Segoe UI Symbol" w:hAnsi="Segoe UI Symbol"/>
              </w:rPr>
              <w:t xml:space="preserve">☐</w:t>
            </w:r>
            <w:r>
              <w:rPr>
                <w:sz w:val="19"/>
                <w:szCs w:val="19"/>
              </w:rPr>
              <w:t xml:space="preserve"> Extreme      </w:t>
            </w:r>
            <w:r>
              <w:rPr>
                <w:rFonts w:ascii="Segoe UI Symbol" w:cs="Segoe UI Symbol" w:eastAsia="Segoe UI Symbol" w:hAnsi="Segoe UI Symbol"/>
              </w:rPr>
              <w:t xml:space="preserve">☐</w:t>
            </w:r>
            <w:r>
              <w:rPr>
                <w:sz w:val="19"/>
                <w:szCs w:val="19"/>
              </w:rPr>
              <w:t xml:space="preserve"> Unable to assess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Explain your rating: supporting findings, test results, observations, and reports, and any help, supervision, adaptations, or structured setting the child needs:</w:t>
            </w:r>
          </w:p>
        </w:tc>
      </w:tr>
      <w:tr>
        <w:trPr>
          <w:trHeight w:val="205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160"/>
      </w:pPr>
    </w:p>
    <w:p>
      <w:pPr>
        <w:pStyle w:val="Heading1"/>
        <w:keepNext/>
        <w:spacing w:after="120" w:before="120"/>
      </w:pPr>
      <w:r>
        <w:t xml:space="preserve">Domain 4: Moving About and Manipulating Objects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Definition </w:t>
            </w:r>
            <w:r>
              <w:rPr>
                <w:i/>
                <w:iCs/>
                <w:sz w:val="18"/>
                <w:szCs w:val="18"/>
              </w:rPr>
              <w:t xml:space="preserve">(20 CFR 416.926a(j); SSR 09-6p; POMS DI 25225.045): </w:t>
            </w:r>
            <w:r>
              <w:rPr>
                <w:sz w:val="18"/>
                <w:szCs w:val="18"/>
              </w:rPr>
              <w:t xml:space="preserve">“In this domain, we consider how you move your body from one place to another and how you move and manipulate things. These are called gross and fine motor skills.”</w:t>
            </w:r>
          </w:p>
          <w:p>
            <w:pPr>
              <w:spacing w:after="20" w:before="0"/>
            </w:pPr>
            <w:r>
              <w:rPr>
                <w:b/>
                <w:bCs/>
                <w:sz w:val="18"/>
                <w:szCs w:val="18"/>
              </w:rPr>
              <w:t xml:space="preserve">Typical functioning at this age </w:t>
            </w:r>
            <w:r>
              <w:rPr>
                <w:i/>
                <w:iCs/>
                <w:sz w:val="18"/>
                <w:szCs w:val="18"/>
              </w:rPr>
              <w:t xml:space="preserve">(416.926a(j)(2)(v)): </w:t>
            </w:r>
            <w:r>
              <w:rPr>
                <w:sz w:val="18"/>
                <w:szCs w:val="18"/>
              </w:rPr>
              <w:t xml:space="preserve">“As an adolescent, you should be able to use your motor skills freely and easily to get about your school, the neighborhood, and the community. You should be able to participate in a full range of individual and group physical fitness activities. You should show mature skills in activities requiring eye-hand coordination, and should have the fine motor skills needed to write efficiently or type on a keyboard.”</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7F8C99" w:sz="4"/>
              <w:left w:val="single" w:color="7F8C99" w:sz="4"/>
              <w:bottom w:val="single" w:color="7F8C99" w:sz="4"/>
              <w:right w:val="single" w:color="7F8C99" w:sz="4"/>
            </w:tcBorders>
            <w:shd w:fill="FFF4D6" w:color="auto" w:val="clear"/>
            <w:tcMar>
              <w:top w:type="dxa" w:w="70"/>
              <w:left w:type="dxa" w:w="110"/>
              <w:bottom w:type="dxa" w:w="70"/>
              <w:right w:type="dxa" w:w="110"/>
            </w:tcMar>
          </w:tcPr>
          <w:p>
            <w:pPr>
              <w:spacing w:after="40" w:before="0"/>
            </w:pPr>
            <w:r>
              <w:rPr>
                <w:b/>
                <w:bCs/>
                <w:sz w:val="18"/>
                <w:szCs w:val="18"/>
              </w:rPr>
              <w:t xml:space="preserve">Overall rating — Moving About and Manipulating Objects: </w:t>
            </w:r>
            <w:r>
              <w:rPr>
                <w:sz w:val="18"/>
                <w:szCs w:val="18"/>
              </w:rPr>
              <w:t xml:space="preserve">considering all impairments together, the child’s limitation in this domain is:</w:t>
            </w:r>
          </w:p>
          <w:p>
            <w:pPr>
              <w:spacing w:after="0" w:before="0"/>
            </w:pPr>
            <w:r>
              <w:rPr>
                <w:rFonts w:ascii="Segoe UI Symbol" w:cs="Segoe UI Symbol" w:eastAsia="Segoe UI Symbol" w:hAnsi="Segoe UI Symbol"/>
              </w:rPr>
              <w:t xml:space="preserve">☐</w:t>
            </w:r>
            <w:r>
              <w:rPr>
                <w:sz w:val="19"/>
                <w:szCs w:val="19"/>
              </w:rPr>
              <w:t xml:space="preserve"> None      </w:t>
            </w:r>
            <w:r>
              <w:rPr>
                <w:rFonts w:ascii="Segoe UI Symbol" w:cs="Segoe UI Symbol" w:eastAsia="Segoe UI Symbol" w:hAnsi="Segoe UI Symbol"/>
              </w:rPr>
              <w:t xml:space="preserve">☐</w:t>
            </w:r>
            <w:r>
              <w:rPr>
                <w:sz w:val="19"/>
                <w:szCs w:val="19"/>
              </w:rPr>
              <w:t xml:space="preserve"> Less than marked      </w:t>
            </w:r>
            <w:r>
              <w:rPr>
                <w:rFonts w:ascii="Segoe UI Symbol" w:cs="Segoe UI Symbol" w:eastAsia="Segoe UI Symbol" w:hAnsi="Segoe UI Symbol"/>
              </w:rPr>
              <w:t xml:space="preserve">☐</w:t>
            </w:r>
            <w:r>
              <w:rPr>
                <w:sz w:val="19"/>
                <w:szCs w:val="19"/>
              </w:rPr>
              <w:t xml:space="preserve"> Marked      </w:t>
            </w:r>
            <w:r>
              <w:rPr>
                <w:rFonts w:ascii="Segoe UI Symbol" w:cs="Segoe UI Symbol" w:eastAsia="Segoe UI Symbol" w:hAnsi="Segoe UI Symbol"/>
              </w:rPr>
              <w:t xml:space="preserve">☐</w:t>
            </w:r>
            <w:r>
              <w:rPr>
                <w:sz w:val="19"/>
                <w:szCs w:val="19"/>
              </w:rPr>
              <w:t xml:space="preserve"> Extreme      </w:t>
            </w:r>
            <w:r>
              <w:rPr>
                <w:rFonts w:ascii="Segoe UI Symbol" w:cs="Segoe UI Symbol" w:eastAsia="Segoe UI Symbol" w:hAnsi="Segoe UI Symbol"/>
              </w:rPr>
              <w:t xml:space="preserve">☐</w:t>
            </w:r>
            <w:r>
              <w:rPr>
                <w:sz w:val="19"/>
                <w:szCs w:val="19"/>
              </w:rPr>
              <w:t xml:space="preserve"> Unable to assess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Explain your rating: supporting findings, test results, observations, and reports, and any help, supervision, adaptations, or structured setting the child needs:</w:t>
            </w:r>
          </w:p>
        </w:tc>
      </w:tr>
      <w:tr>
        <w:trPr>
          <w:trHeight w:val="205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r>
        <w:br w:type="page"/>
      </w:r>
    </w:p>
    <w:p>
      <w:pPr>
        <w:pStyle w:val="Heading1"/>
        <w:keepNext/>
        <w:spacing w:after="120" w:before="120"/>
      </w:pPr>
      <w:r>
        <w:t xml:space="preserve">Domain 5: Caring for Yourself</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Definition </w:t>
            </w:r>
            <w:r>
              <w:rPr>
                <w:i/>
                <w:iCs/>
                <w:sz w:val="18"/>
                <w:szCs w:val="18"/>
              </w:rPr>
              <w:t xml:space="preserve">(20 CFR 416.926a(k); SSR 09-7p; POMS DI 25225.050): </w:t>
            </w:r>
            <w:r>
              <w:rPr>
                <w:sz w:val="18"/>
                <w:szCs w:val="18"/>
              </w:rPr>
              <w:t xml:space="preserve">“In this domain, we consider how well you maintain a healthy emotional and physical state, including how well you get your physical and emotional wants and needs met in appropriate ways; how you cope with stress and changes in your environment; and whether you take care of your own health, possessions, and living area.”</w:t>
            </w:r>
          </w:p>
          <w:p>
            <w:pPr>
              <w:spacing w:after="20" w:before="0"/>
            </w:pPr>
            <w:r>
              <w:rPr>
                <w:b/>
                <w:bCs/>
                <w:sz w:val="18"/>
                <w:szCs w:val="18"/>
              </w:rPr>
              <w:t xml:space="preserve">Typical functioning at this age </w:t>
            </w:r>
            <w:r>
              <w:rPr>
                <w:i/>
                <w:iCs/>
                <w:sz w:val="18"/>
                <w:szCs w:val="18"/>
              </w:rPr>
              <w:t xml:space="preserve">(416.926a(k)(2)(v)): </w:t>
            </w:r>
            <w:r>
              <w:rPr>
                <w:sz w:val="18"/>
                <w:szCs w:val="18"/>
              </w:rPr>
              <w:t xml:space="preserve">“You should feel more independent from others and should be increasingly independent in all of your day-to-day activities. You may sometimes experience confusion in the way you feel about yourself. You should begin to notice significant changes in your body's development, and this can result in anxiety or worrying about yourself and your body. Sometimes these worries can make you feel angry or frustrated. You should begin to discover appropriate ways to express your feelings, both good and bad (e.g., keeping a diary to sort out angry feelings or listening to music to calm yourself down). You should begin to think seriously about your future plans, and what you will do when you finish school.”</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7F8C99" w:sz="4"/>
              <w:left w:val="single" w:color="7F8C99" w:sz="4"/>
              <w:bottom w:val="single" w:color="7F8C99" w:sz="4"/>
              <w:right w:val="single" w:color="7F8C99" w:sz="4"/>
            </w:tcBorders>
            <w:shd w:fill="FFF4D6" w:color="auto" w:val="clear"/>
            <w:tcMar>
              <w:top w:type="dxa" w:w="70"/>
              <w:left w:type="dxa" w:w="110"/>
              <w:bottom w:type="dxa" w:w="70"/>
              <w:right w:type="dxa" w:w="110"/>
            </w:tcMar>
          </w:tcPr>
          <w:p>
            <w:pPr>
              <w:spacing w:after="40" w:before="0"/>
            </w:pPr>
            <w:r>
              <w:rPr>
                <w:b/>
                <w:bCs/>
                <w:sz w:val="18"/>
                <w:szCs w:val="18"/>
              </w:rPr>
              <w:t xml:space="preserve">Overall rating — Caring for Yourself: </w:t>
            </w:r>
            <w:r>
              <w:rPr>
                <w:sz w:val="18"/>
                <w:szCs w:val="18"/>
              </w:rPr>
              <w:t xml:space="preserve">considering all impairments together, the child’s limitation in this domain is:</w:t>
            </w:r>
          </w:p>
          <w:p>
            <w:pPr>
              <w:spacing w:after="0" w:before="0"/>
            </w:pPr>
            <w:r>
              <w:rPr>
                <w:rFonts w:ascii="Segoe UI Symbol" w:cs="Segoe UI Symbol" w:eastAsia="Segoe UI Symbol" w:hAnsi="Segoe UI Symbol"/>
              </w:rPr>
              <w:t xml:space="preserve">☐</w:t>
            </w:r>
            <w:r>
              <w:rPr>
                <w:sz w:val="19"/>
                <w:szCs w:val="19"/>
              </w:rPr>
              <w:t xml:space="preserve"> None      </w:t>
            </w:r>
            <w:r>
              <w:rPr>
                <w:rFonts w:ascii="Segoe UI Symbol" w:cs="Segoe UI Symbol" w:eastAsia="Segoe UI Symbol" w:hAnsi="Segoe UI Symbol"/>
              </w:rPr>
              <w:t xml:space="preserve">☐</w:t>
            </w:r>
            <w:r>
              <w:rPr>
                <w:sz w:val="19"/>
                <w:szCs w:val="19"/>
              </w:rPr>
              <w:t xml:space="preserve"> Less than marked      </w:t>
            </w:r>
            <w:r>
              <w:rPr>
                <w:rFonts w:ascii="Segoe UI Symbol" w:cs="Segoe UI Symbol" w:eastAsia="Segoe UI Symbol" w:hAnsi="Segoe UI Symbol"/>
              </w:rPr>
              <w:t xml:space="preserve">☐</w:t>
            </w:r>
            <w:r>
              <w:rPr>
                <w:sz w:val="19"/>
                <w:szCs w:val="19"/>
              </w:rPr>
              <w:t xml:space="preserve"> Marked      </w:t>
            </w:r>
            <w:r>
              <w:rPr>
                <w:rFonts w:ascii="Segoe UI Symbol" w:cs="Segoe UI Symbol" w:eastAsia="Segoe UI Symbol" w:hAnsi="Segoe UI Symbol"/>
              </w:rPr>
              <w:t xml:space="preserve">☐</w:t>
            </w:r>
            <w:r>
              <w:rPr>
                <w:sz w:val="19"/>
                <w:szCs w:val="19"/>
              </w:rPr>
              <w:t xml:space="preserve"> Extreme      </w:t>
            </w:r>
            <w:r>
              <w:rPr>
                <w:rFonts w:ascii="Segoe UI Symbol" w:cs="Segoe UI Symbol" w:eastAsia="Segoe UI Symbol" w:hAnsi="Segoe UI Symbol"/>
              </w:rPr>
              <w:t xml:space="preserve">☐</w:t>
            </w:r>
            <w:r>
              <w:rPr>
                <w:sz w:val="19"/>
                <w:szCs w:val="19"/>
              </w:rPr>
              <w:t xml:space="preserve"> Unable to assess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Explain your rating: supporting findings, test results, observations, and reports, and any help, supervision, adaptations, or structured setting the child needs:</w:t>
            </w:r>
          </w:p>
        </w:tc>
      </w:tr>
      <w:tr>
        <w:trPr>
          <w:trHeight w:val="680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r>
        <w:br w:type="page"/>
      </w:r>
    </w:p>
    <w:p>
      <w:pPr>
        <w:pStyle w:val="Heading1"/>
        <w:keepNext/>
        <w:spacing w:after="120" w:before="120"/>
      </w:pPr>
      <w:r>
        <w:t xml:space="preserve">Domain 6: Health and Physical Well-Being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Definition </w:t>
            </w:r>
            <w:r>
              <w:rPr>
                <w:i/>
                <w:iCs/>
                <w:sz w:val="18"/>
                <w:szCs w:val="18"/>
              </w:rPr>
              <w:t xml:space="preserve">(20 CFR 416.926a(l); SSR 09-8p; POMS DI 25225.055): </w:t>
            </w:r>
            <w:r>
              <w:rPr>
                <w:sz w:val="18"/>
                <w:szCs w:val="18"/>
              </w:rPr>
              <w:t xml:space="preserve">“In this domain, we consider the cumulative physical effects of physical or mental impairments and their associated treatments or therapies on your functioning that we did not consider in paragraph (j) of this section.” There are no age-group descriptors for this domain.</w:t>
            </w:r>
          </w:p>
          <w:p>
            <w:pPr>
              <w:spacing w:after="20" w:before="0"/>
            </w:pPr>
            <w:r>
              <w:rPr>
                <w:b/>
                <w:bCs/>
                <w:sz w:val="18"/>
                <w:szCs w:val="18"/>
              </w:rPr>
              <w:t xml:space="preserve">Marked </w:t>
            </w:r>
            <w:r>
              <w:rPr>
                <w:i/>
                <w:iCs/>
                <w:sz w:val="18"/>
                <w:szCs w:val="18"/>
              </w:rPr>
              <w:t xml:space="preserve">(416.926a(e)(2)(iv)): </w:t>
            </w:r>
            <w:r>
              <w:rPr>
                <w:sz w:val="18"/>
                <w:szCs w:val="18"/>
              </w:rPr>
              <w:t xml:space="preserve">may also be found “if you are frequently ill because of your impairment(s) or have frequent exacerbations of your impairment(s) that result in significant, documented symptoms or signs. For purposes of this domain, ‘frequent means that you have episodes of illness or exacerbations that occur on an average of 3 times a year, or once every 4 months, each lasting 2 weeks or more.” More frequent but shorter, or less frequent but longer, episodes may qualify if equivalent in overall effect. An extreme limitation requires episodes “substantially in excess” of these requirements (416.926a(e)(3)(iv)).</w:t>
            </w:r>
          </w:p>
        </w:tc>
      </w:tr>
    </w:tbl>
    <w:p>
      <w:pPr>
        <w:spacing w:after="60"/>
      </w:pPr>
    </w:p>
    <w:p>
      <w:pPr>
        <w:spacing w:after="40" w:before="0"/>
      </w:pPr>
      <w:r>
        <w:rPr>
          <w:b/>
          <w:bCs/>
          <w:sz w:val="18"/>
          <w:szCs w:val="18"/>
        </w:rPr>
        <w:t xml:space="preserve">Physical effects of impairment(s) or treatment (check all that apply):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20"/>
        <w:gridCol w:w="2520"/>
        <w:gridCol w:w="2520"/>
        <w:gridCol w:w="2520"/>
      </w:tblGrid>
      <w:tr>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Weakness</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Dizziness</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Shortness of breath</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Fatigue / low stamina</w:t>
            </w:r>
          </w:p>
        </w:tc>
      </w:tr>
      <w:tr>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Pain</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Headaches</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Recurrent infections</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Allergic reactions</w:t>
            </w:r>
          </w:p>
        </w:tc>
      </w:tr>
      <w:tr>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Poor growth / weight change</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Incontinence</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Nausea / stomach</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Seizures</w:t>
            </w:r>
          </w:p>
        </w:tc>
      </w:tr>
      <w:tr>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Insomnia</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Psychomotor slowing</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Medication side effects</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Treatment burden*</w:t>
            </w:r>
          </w:p>
        </w:tc>
      </w:tr>
    </w:tbl>
    <w:p>
      <w:pPr>
        <w:spacing w:after="60" w:before="0"/>
      </w:pPr>
      <w:r>
        <w:rPr>
          <w:i/>
          <w:iCs/>
          <w:sz w:val="16"/>
          <w:szCs w:val="16"/>
        </w:rPr>
        <w:t xml:space="preserve">*e.g., multiple surgeries, chemotherapy, nebulizer treatments, frequent therapy that limits activities or school attendance.</w:t>
      </w:r>
    </w:p>
    <w:p>
      <w:pPr>
        <w:spacing w:after="20" w:before="0"/>
      </w:pPr>
      <w:r>
        <w:rPr>
          <w:b/>
          <w:bCs/>
          <w:sz w:val="18"/>
          <w:szCs w:val="18"/>
        </w:rPr>
        <w:t xml:space="preserve">Past 12 months: </w:t>
      </w:r>
      <w:r>
        <w:rPr>
          <w:sz w:val="18"/>
          <w:szCs w:val="18"/>
        </w:rPr>
        <w:t xml:space="preserve">number of episodes of illness or exacerbation ______; typical duration of each ______; hospitalizations ______.  Medically fragile, needing intensive medical care?</w:t>
      </w:r>
    </w:p>
    <w:p>
      <w:pPr>
        <w:spacing w:after="6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No      </w:t>
      </w:r>
      <w:r>
        <w:rPr>
          <w:rFonts w:ascii="Segoe UI Symbol" w:cs="Segoe UI Symbol" w:eastAsia="Segoe UI Symbol" w:hAnsi="Segoe UI Symbol"/>
        </w:rPr>
        <w:t xml:space="preserve">☐</w:t>
      </w:r>
      <w:r>
        <w:rPr>
          <w:sz w:val="18"/>
          <w:szCs w:val="18"/>
        </w:rPr>
        <w:t xml:space="preserve"> Unknown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7F8C99" w:sz="4"/>
              <w:left w:val="single" w:color="7F8C99" w:sz="4"/>
              <w:bottom w:val="single" w:color="7F8C99" w:sz="4"/>
              <w:right w:val="single" w:color="7F8C99" w:sz="4"/>
            </w:tcBorders>
            <w:shd w:fill="FFF4D6" w:color="auto" w:val="clear"/>
            <w:tcMar>
              <w:top w:type="dxa" w:w="70"/>
              <w:left w:type="dxa" w:w="110"/>
              <w:bottom w:type="dxa" w:w="70"/>
              <w:right w:type="dxa" w:w="110"/>
            </w:tcMar>
          </w:tcPr>
          <w:p>
            <w:pPr>
              <w:spacing w:after="40" w:before="0"/>
            </w:pPr>
            <w:r>
              <w:rPr>
                <w:b/>
                <w:bCs/>
                <w:sz w:val="18"/>
                <w:szCs w:val="18"/>
              </w:rPr>
              <w:t xml:space="preserve">Overall rating — Health and Physical Well-Being: </w:t>
            </w:r>
            <w:r>
              <w:rPr>
                <w:sz w:val="18"/>
                <w:szCs w:val="18"/>
              </w:rPr>
              <w:t xml:space="preserve">considering all impairments together, the child’s limitation in this domain is:</w:t>
            </w:r>
          </w:p>
          <w:p>
            <w:pPr>
              <w:spacing w:after="0" w:before="0"/>
            </w:pPr>
            <w:r>
              <w:rPr>
                <w:rFonts w:ascii="Segoe UI Symbol" w:cs="Segoe UI Symbol" w:eastAsia="Segoe UI Symbol" w:hAnsi="Segoe UI Symbol"/>
              </w:rPr>
              <w:t xml:space="preserve">☐</w:t>
            </w:r>
            <w:r>
              <w:rPr>
                <w:sz w:val="19"/>
                <w:szCs w:val="19"/>
              </w:rPr>
              <w:t xml:space="preserve"> None      </w:t>
            </w:r>
            <w:r>
              <w:rPr>
                <w:rFonts w:ascii="Segoe UI Symbol" w:cs="Segoe UI Symbol" w:eastAsia="Segoe UI Symbol" w:hAnsi="Segoe UI Symbol"/>
              </w:rPr>
              <w:t xml:space="preserve">☐</w:t>
            </w:r>
            <w:r>
              <w:rPr>
                <w:sz w:val="19"/>
                <w:szCs w:val="19"/>
              </w:rPr>
              <w:t xml:space="preserve"> Less than marked      </w:t>
            </w:r>
            <w:r>
              <w:rPr>
                <w:rFonts w:ascii="Segoe UI Symbol" w:cs="Segoe UI Symbol" w:eastAsia="Segoe UI Symbol" w:hAnsi="Segoe UI Symbol"/>
              </w:rPr>
              <w:t xml:space="preserve">☐</w:t>
            </w:r>
            <w:r>
              <w:rPr>
                <w:sz w:val="19"/>
                <w:szCs w:val="19"/>
              </w:rPr>
              <w:t xml:space="preserve"> Marked      </w:t>
            </w:r>
            <w:r>
              <w:rPr>
                <w:rFonts w:ascii="Segoe UI Symbol" w:cs="Segoe UI Symbol" w:eastAsia="Segoe UI Symbol" w:hAnsi="Segoe UI Symbol"/>
              </w:rPr>
              <w:t xml:space="preserve">☐</w:t>
            </w:r>
            <w:r>
              <w:rPr>
                <w:sz w:val="19"/>
                <w:szCs w:val="19"/>
              </w:rPr>
              <w:t xml:space="preserve"> Extreme      </w:t>
            </w:r>
            <w:r>
              <w:rPr>
                <w:rFonts w:ascii="Segoe UI Symbol" w:cs="Segoe UI Symbol" w:eastAsia="Segoe UI Symbol" w:hAnsi="Segoe UI Symbol"/>
              </w:rPr>
              <w:t xml:space="preserve">☐</w:t>
            </w:r>
            <w:r>
              <w:rPr>
                <w:sz w:val="19"/>
                <w:szCs w:val="19"/>
              </w:rPr>
              <w:t xml:space="preserve"> Unable to assess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Explain your rating, including dates of episodes and supporting records:</w:t>
            </w:r>
          </w:p>
        </w:tc>
      </w:tr>
      <w:tr>
        <w:trPr>
          <w:trHeight w:val="360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r>
        <w:br w:type="page"/>
      </w:r>
    </w:p>
    <w:p>
      <w:pPr>
        <w:pStyle w:val="Heading1"/>
        <w:keepNext/>
        <w:spacing w:after="120" w:before="120"/>
      </w:pPr>
      <w:r>
        <w:t xml:space="preserve">Part B. Other Factors, Duration, and Signature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Extra help, supervision, assistive devices, and structured or supportive settings the child needs, and how the child functions without them (20 CFR 416.924a(b)(5)). Limitations that persist despite treatment (416.924a(b)(9)):</w:t>
            </w:r>
          </w:p>
        </w:tc>
      </w:tr>
      <w:tr>
        <w:trPr>
          <w:trHeight w:val="200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80"/>
      </w:pPr>
    </w:p>
    <w:p>
      <w:pPr>
        <w:spacing w:after="20" w:before="0"/>
      </w:pPr>
      <w:r>
        <w:rPr>
          <w:b/>
          <w:bCs/>
          <w:sz w:val="18"/>
          <w:szCs w:val="18"/>
        </w:rPr>
        <w:t xml:space="preserve">Is the child’s presentation in your office representative of daily functioning? </w:t>
      </w:r>
      <w:r>
        <w:rPr>
          <w:sz w:val="18"/>
          <w:szCs w:val="18"/>
        </w:rPr>
        <w:t xml:space="preserve">(416.924a(b)(6))</w:t>
      </w:r>
    </w:p>
    <w:p>
      <w:pPr>
        <w:spacing w:after="8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Less impaired in office      </w:t>
      </w:r>
      <w:r>
        <w:rPr>
          <w:rFonts w:ascii="Segoe UI Symbol" w:cs="Segoe UI Symbol" w:eastAsia="Segoe UI Symbol" w:hAnsi="Segoe UI Symbol"/>
        </w:rPr>
        <w:t xml:space="preserve">☐</w:t>
      </w:r>
      <w:r>
        <w:rPr>
          <w:sz w:val="18"/>
          <w:szCs w:val="18"/>
        </w:rPr>
        <w:t xml:space="preserve"> More impaired in office      </w:t>
      </w:r>
      <w:r>
        <w:rPr>
          <w:rFonts w:ascii="Segoe UI Symbol" w:cs="Segoe UI Symbol" w:eastAsia="Segoe UI Symbol" w:hAnsi="Segoe UI Symbol"/>
        </w:rPr>
        <w:t xml:space="preserve">☐</w:t>
      </w:r>
      <w:r>
        <w:rPr>
          <w:sz w:val="18"/>
          <w:szCs w:val="18"/>
        </w:rPr>
        <w:t xml:space="preserve"> Unknown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980"/>
        <w:gridCol w:w="3100"/>
      </w:tblGrid>
      <w:tr>
        <w:trPr>
          <w:cantSplit/>
        </w:trPr>
        <w:tc>
          <w:tcPr>
            <w:tcW w:type="dxa" w:w="69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0" w:before="0"/>
            </w:pPr>
            <w:r>
              <w:rPr>
                <w:sz w:val="18"/>
                <w:szCs w:val="18"/>
              </w:rPr>
              <w:t xml:space="preserve">Complete inability to function independently outside the area of the home within age-appropriate norms, due to physical or combined physical and mental impairment(s) (416.926a(m)(1))</w:t>
            </w:r>
          </w:p>
        </w:tc>
        <w:tc>
          <w:tcPr>
            <w:tcW w:type="dxa" w:w="3100"/>
            <w:tcBorders>
              <w:top w:val="single" w:color="7F8C99" w:sz="4"/>
              <w:left w:val="single" w:color="7F8C99" w:sz="4"/>
              <w:bottom w:val="single" w:color="7F8C99" w:sz="4"/>
              <w:right w:val="single" w:color="7F8C99" w:sz="4"/>
            </w:tcBorders>
            <w:tcMar>
              <w:top w:type="dxa" w:w="70"/>
              <w:left w:type="dxa" w:w="110"/>
              <w:bottom w:type="dxa" w:w="70"/>
              <w:right w:type="dxa" w:w="110"/>
            </w:tcMar>
            <w:vAlign w:val="center"/>
          </w:tcPr>
          <w:p>
            <w:pPr>
              <w:spacing w:after="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No      </w:t>
            </w:r>
            <w:r>
              <w:rPr>
                <w:rFonts w:ascii="Segoe UI Symbol" w:cs="Segoe UI Symbol" w:eastAsia="Segoe UI Symbol" w:hAnsi="Segoe UI Symbol"/>
              </w:rPr>
              <w:t xml:space="preserve">☐</w:t>
            </w:r>
            <w:r>
              <w:rPr>
                <w:sz w:val="18"/>
                <w:szCs w:val="18"/>
              </w:rPr>
              <w:t xml:space="preserve"> Unknown</w:t>
            </w:r>
          </w:p>
        </w:tc>
      </w:tr>
      <w:tr>
        <w:trPr>
          <w:cantSplit/>
        </w:trPr>
        <w:tc>
          <w:tcPr>
            <w:tcW w:type="dxa" w:w="69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0" w:before="0"/>
            </w:pPr>
            <w:r>
              <w:rPr>
                <w:sz w:val="18"/>
                <w:szCs w:val="18"/>
              </w:rPr>
              <w:t xml:space="preserve">Requirement for 24-hour-a-day supervision for medical (including psychological) reasons (416.926a(m)(2))</w:t>
            </w:r>
          </w:p>
        </w:tc>
        <w:tc>
          <w:tcPr>
            <w:tcW w:type="dxa" w:w="3100"/>
            <w:tcBorders>
              <w:top w:val="single" w:color="7F8C99" w:sz="4"/>
              <w:left w:val="single" w:color="7F8C99" w:sz="4"/>
              <w:bottom w:val="single" w:color="7F8C99" w:sz="4"/>
              <w:right w:val="single" w:color="7F8C99" w:sz="4"/>
            </w:tcBorders>
            <w:tcMar>
              <w:top w:type="dxa" w:w="70"/>
              <w:left w:type="dxa" w:w="110"/>
              <w:bottom w:type="dxa" w:w="70"/>
              <w:right w:type="dxa" w:w="110"/>
            </w:tcMar>
            <w:vAlign w:val="center"/>
          </w:tcPr>
          <w:p>
            <w:pPr>
              <w:spacing w:after="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No      </w:t>
            </w:r>
            <w:r>
              <w:rPr>
                <w:rFonts w:ascii="Segoe UI Symbol" w:cs="Segoe UI Symbol" w:eastAsia="Segoe UI Symbol" w:hAnsi="Segoe UI Symbol"/>
              </w:rPr>
              <w:t xml:space="preserve">☐</w:t>
            </w:r>
            <w:r>
              <w:rPr>
                <w:sz w:val="18"/>
                <w:szCs w:val="18"/>
              </w:rPr>
              <w:t xml:space="preserve"> Unknown</w:t>
            </w:r>
          </w:p>
        </w:tc>
      </w:tr>
      <w:tr>
        <w:trPr>
          <w:cantSplit/>
        </w:trPr>
        <w:tc>
          <w:tcPr>
            <w:tcW w:type="dxa" w:w="69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0" w:before="0"/>
            </w:pPr>
            <w:r>
              <w:rPr>
                <w:sz w:val="18"/>
                <w:szCs w:val="18"/>
              </w:rPr>
              <w:t xml:space="preserve">Have the limitations lasted, or are they expected to last, at least 12 continuous months? (20 CFR 416.909)</w:t>
            </w:r>
          </w:p>
        </w:tc>
        <w:tc>
          <w:tcPr>
            <w:tcW w:type="dxa" w:w="3100"/>
            <w:tcBorders>
              <w:top w:val="single" w:color="7F8C99" w:sz="4"/>
              <w:left w:val="single" w:color="7F8C99" w:sz="4"/>
              <w:bottom w:val="single" w:color="7F8C99" w:sz="4"/>
              <w:right w:val="single" w:color="7F8C99" w:sz="4"/>
            </w:tcBorders>
            <w:tcMar>
              <w:top w:type="dxa" w:w="70"/>
              <w:left w:type="dxa" w:w="110"/>
              <w:bottom w:type="dxa" w:w="70"/>
              <w:right w:type="dxa" w:w="110"/>
            </w:tcMar>
            <w:vAlign w:val="center"/>
          </w:tcPr>
          <w:p>
            <w:pPr>
              <w:spacing w:after="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No      </w:t>
            </w:r>
            <w:r>
              <w:rPr>
                <w:rFonts w:ascii="Segoe UI Symbol" w:cs="Segoe UI Symbol" w:eastAsia="Segoe UI Symbol" w:hAnsi="Segoe UI Symbol"/>
              </w:rPr>
              <w:t xml:space="preserve">☐</w:t>
            </w:r>
            <w:r>
              <w:rPr>
                <w:sz w:val="18"/>
                <w:szCs w:val="18"/>
              </w:rPr>
              <w:t xml:space="preserve"> Unknown</w:t>
            </w:r>
          </w:p>
        </w:tc>
      </w:tr>
      <w:tr>
        <w:trPr>
          <w:cantSplit/>
        </w:trPr>
        <w:tc>
          <w:tcPr>
            <w:tcW w:type="dxa" w:w="69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0" w:before="0"/>
            </w:pPr>
            <w:r>
              <w:rPr>
                <w:sz w:val="18"/>
                <w:szCs w:val="18"/>
              </w:rPr>
              <w:t xml:space="preserve">Is the impairment expected to result in death?</w:t>
            </w:r>
          </w:p>
        </w:tc>
        <w:tc>
          <w:tcPr>
            <w:tcW w:type="dxa" w:w="3100"/>
            <w:tcBorders>
              <w:top w:val="single" w:color="7F8C99" w:sz="4"/>
              <w:left w:val="single" w:color="7F8C99" w:sz="4"/>
              <w:bottom w:val="single" w:color="7F8C99" w:sz="4"/>
              <w:right w:val="single" w:color="7F8C99" w:sz="4"/>
            </w:tcBorders>
            <w:tcMar>
              <w:top w:type="dxa" w:w="70"/>
              <w:left w:type="dxa" w:w="110"/>
              <w:bottom w:type="dxa" w:w="70"/>
              <w:right w:type="dxa" w:w="110"/>
            </w:tcMar>
            <w:vAlign w:val="center"/>
          </w:tcPr>
          <w:p>
            <w:pPr>
              <w:spacing w:after="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No      </w:t>
            </w:r>
            <w:r>
              <w:rPr>
                <w:rFonts w:ascii="Segoe UI Symbol" w:cs="Segoe UI Symbol" w:eastAsia="Segoe UI Symbol" w:hAnsi="Segoe UI Symbol"/>
              </w:rPr>
              <w:t xml:space="preserve">☐</w:t>
            </w:r>
            <w:r>
              <w:rPr>
                <w:sz w:val="18"/>
                <w:szCs w:val="18"/>
              </w:rPr>
              <w:t xml:space="preserve"> Unknown</w:t>
            </w:r>
          </w:p>
        </w:tc>
      </w:tr>
    </w:tbl>
    <w:p>
      <w:pPr>
        <w:spacing w:after="80"/>
      </w:pPr>
    </w:p>
    <w:p>
      <w:pPr>
        <w:spacing w:after="80" w:before="0"/>
      </w:pPr>
      <w:r>
        <w:rPr>
          <w:b/>
          <w:bCs/>
          <w:sz w:val="18"/>
          <w:szCs w:val="18"/>
        </w:rPr>
        <w:t xml:space="preserve">The limitations described have existed at approximately this level since (date): </w:t>
      </w:r>
      <w:r>
        <w:rPr>
          <w:sz w:val="18"/>
          <w:szCs w:val="18"/>
        </w:rPr>
        <w:t xml:space="preserve">____________</w:t>
      </w:r>
    </w:p>
    <w:p>
      <w:pPr>
        <w:spacing w:after="20" w:before="0"/>
      </w:pPr>
      <w:r>
        <w:rPr>
          <w:b/>
          <w:bCs/>
          <w:sz w:val="18"/>
          <w:szCs w:val="18"/>
        </w:rPr>
        <w:t xml:space="preserve">Sources relied on: </w:t>
      </w:r>
    </w:p>
    <w:p>
      <w:pPr>
        <w:spacing w:after="80" w:before="0"/>
      </w:pPr>
      <w:r>
        <w:rPr>
          <w:rFonts w:ascii="Segoe UI Symbol" w:cs="Segoe UI Symbol" w:eastAsia="Segoe UI Symbol" w:hAnsi="Segoe UI Symbol"/>
        </w:rPr>
        <w:t xml:space="preserve">☐</w:t>
      </w:r>
      <w:r>
        <w:rPr>
          <w:sz w:val="17"/>
          <w:szCs w:val="17"/>
        </w:rPr>
        <w:t xml:space="preserve"> My exam/treatment      </w:t>
      </w:r>
      <w:r>
        <w:rPr>
          <w:rFonts w:ascii="Segoe UI Symbol" w:cs="Segoe UI Symbol" w:eastAsia="Segoe UI Symbol" w:hAnsi="Segoe UI Symbol"/>
        </w:rPr>
        <w:t xml:space="preserve">☐</w:t>
      </w:r>
      <w:r>
        <w:rPr>
          <w:sz w:val="17"/>
          <w:szCs w:val="17"/>
        </w:rPr>
        <w:t xml:space="preserve"> Testing      </w:t>
      </w:r>
      <w:r>
        <w:rPr>
          <w:rFonts w:ascii="Segoe UI Symbol" w:cs="Segoe UI Symbol" w:eastAsia="Segoe UI Symbol" w:hAnsi="Segoe UI Symbol"/>
        </w:rPr>
        <w:t xml:space="preserve">☐</w:t>
      </w:r>
      <w:r>
        <w:rPr>
          <w:sz w:val="17"/>
          <w:szCs w:val="17"/>
        </w:rPr>
        <w:t xml:space="preserve"> Parent report      </w:t>
      </w:r>
      <w:r>
        <w:rPr>
          <w:rFonts w:ascii="Segoe UI Symbol" w:cs="Segoe UI Symbol" w:eastAsia="Segoe UI Symbol" w:hAnsi="Segoe UI Symbol"/>
        </w:rPr>
        <w:t xml:space="preserve">☐</w:t>
      </w:r>
      <w:r>
        <w:rPr>
          <w:sz w:val="17"/>
          <w:szCs w:val="17"/>
        </w:rPr>
        <w:t xml:space="preserve"> School/IEP records      </w:t>
      </w:r>
      <w:r>
        <w:rPr>
          <w:rFonts w:ascii="Segoe UI Symbol" w:cs="Segoe UI Symbol" w:eastAsia="Segoe UI Symbol" w:hAnsi="Segoe UI Symbol"/>
        </w:rPr>
        <w:t xml:space="preserve">☐</w:t>
      </w:r>
      <w:r>
        <w:rPr>
          <w:sz w:val="17"/>
          <w:szCs w:val="17"/>
        </w:rPr>
        <w:t xml:space="preserve"> Therapist reports      </w:t>
      </w:r>
      <w:r>
        <w:rPr>
          <w:rFonts w:ascii="Segoe UI Symbol" w:cs="Segoe UI Symbol" w:eastAsia="Segoe UI Symbol" w:hAnsi="Segoe UI Symbol"/>
        </w:rPr>
        <w:t xml:space="preserve">☐</w:t>
      </w:r>
      <w:r>
        <w:rPr>
          <w:sz w:val="17"/>
          <w:szCs w:val="17"/>
        </w:rPr>
        <w:t xml:space="preserve"> Other records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Additional comments (including any listing you believe is met or equaled):</w:t>
            </w:r>
          </w:p>
        </w:tc>
      </w:tr>
      <w:tr>
        <w:trPr>
          <w:trHeight w:val="160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1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trHeight w:val="360" w:hRule="atLeast"/>
        </w:trPr>
        <w:tc>
          <w:tcPr>
            <w:tcW w:type="dxa" w:w="5040"/>
            <w:tcBorders>
              <w:top w:val="none" w:color="FFFFFF" w:sz="0"/>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tc>
        <w:tc>
          <w:tcPr>
            <w:tcW w:type="dxa" w:w="5040"/>
            <w:tcBorders>
              <w:top w:val="none" w:color="FFFFFF" w:sz="0"/>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tc>
      </w:tr>
      <w:tr>
        <w:trPr>
          <w:trHeight w:val="560" w:hRule="atLeast"/>
        </w:trPr>
        <w:tc>
          <w:tcPr>
            <w:tcW w:type="dxa" w:w="5040"/>
            <w:tcBorders>
              <w:top w:val="single" w:color="7F8C99" w:sz="4"/>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p>
            <w:pPr>
              <w:spacing w:after="0" w:before="0"/>
            </w:pPr>
            <w:r>
              <w:rPr>
                <w:b/>
                <w:bCs/>
                <w:sz w:val="18"/>
                <w:szCs w:val="18"/>
              </w:rPr>
              <w:t xml:space="preserve">Signature</w:t>
            </w:r>
          </w:p>
        </w:tc>
        <w:tc>
          <w:tcPr>
            <w:tcW w:type="dxa" w:w="5040"/>
            <w:tcBorders>
              <w:top w:val="single" w:color="7F8C99" w:sz="4"/>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p>
            <w:pPr>
              <w:spacing w:after="0" w:before="0"/>
            </w:pPr>
            <w:r>
              <w:rPr>
                <w:b/>
                <w:bCs/>
                <w:sz w:val="18"/>
                <w:szCs w:val="18"/>
              </w:rPr>
              <w:t xml:space="preserve">Date</w:t>
            </w:r>
          </w:p>
        </w:tc>
      </w:tr>
      <w:tr>
        <w:trPr>
          <w:trHeight w:val="360" w:hRule="atLeast"/>
        </w:trPr>
        <w:tc>
          <w:tcPr>
            <w:tcW w:type="dxa" w:w="5040"/>
            <w:tcBorders>
              <w:top w:val="none" w:color="FFFFFF" w:sz="0"/>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tc>
        <w:tc>
          <w:tcPr>
            <w:tcW w:type="dxa" w:w="5040"/>
            <w:tcBorders>
              <w:top w:val="none" w:color="FFFFFF" w:sz="0"/>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tc>
      </w:tr>
      <w:tr>
        <w:trPr>
          <w:trHeight w:val="560" w:hRule="atLeast"/>
        </w:trPr>
        <w:tc>
          <w:tcPr>
            <w:tcW w:type="dxa" w:w="5040"/>
            <w:tcBorders>
              <w:top w:val="single" w:color="7F8C99" w:sz="4"/>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p>
            <w:pPr>
              <w:spacing w:after="0" w:before="0"/>
            </w:pPr>
            <w:r>
              <w:rPr>
                <w:b/>
                <w:bCs/>
                <w:sz w:val="18"/>
                <w:szCs w:val="18"/>
              </w:rPr>
              <w:t xml:space="preserve">Printed name, credentials, and specialty</w:t>
            </w:r>
          </w:p>
        </w:tc>
        <w:tc>
          <w:tcPr>
            <w:tcW w:type="dxa" w:w="5040"/>
            <w:tcBorders>
              <w:top w:val="single" w:color="7F8C99" w:sz="4"/>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p>
            <w:pPr>
              <w:spacing w:after="0" w:before="0"/>
            </w:pPr>
            <w:r>
              <w:rPr>
                <w:b/>
                <w:bCs/>
                <w:sz w:val="18"/>
                <w:szCs w:val="18"/>
              </w:rPr>
              <w:t xml:space="preserve">Practice address and telephone</w:t>
            </w:r>
          </w:p>
        </w:tc>
      </w:tr>
    </w:tbl>
    <w:sectPr>
      <w:headerReference w:type="default" r:id="rId7"/>
      <w:footerReference w:type="default" r:id="rId8"/>
      <w:pgSz w:w="12240" w:h="15840" w:orient="portrait"/>
      <w:pgMar w:top="1000" w:right="1080" w:bottom="900" w:left="1080" w:header="45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6"/>
        <w:szCs w:val="16"/>
      </w:rPr>
      <w:t xml:space="preserve">Page </w:t>
    </w:r>
    <w:r>
      <w:rPr>
        <w:color w:val="555555"/>
        <w:sz w:val="16"/>
        <w:szCs w:val="16"/>
      </w:rPr>
      <w:fldChar w:fldCharType="begin"/>
      <w:instrText xml:space="preserve">PAGE</w:instrText>
      <w:fldChar w:fldCharType="separate"/>
      <w:fldChar w:fldCharType="end"/>
    </w:r>
    <w:r>
      <w:rPr>
        <w:color w:val="555555"/>
        <w:sz w:val="16"/>
        <w:szCs w:val="16"/>
      </w:rPr>
      <w:t xml:space="preserve"> of </w:t>
    </w:r>
    <w:r>
      <w:rPr>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7F8C99" w:sz="4" w:space="4"/>
      </w:pBdr>
      <w:tabs>
        <w:tab w:val="right" w:pos="10080"/>
      </w:tabs>
    </w:pPr>
    <w:r>
      <w:rPr>
        <w:color w:val="555555"/>
        <w:sz w:val="16"/>
        <w:szCs w:val="16"/>
      </w:rPr>
      <w:t xml:space="preserve">Child’s Functioning — Age 12 to 18</w:t>
    </w:r>
    <w:r>
      <w:rPr>
        <w:color w:val="555555"/>
        <w:sz w:val="16"/>
        <w:szCs w:val="16"/>
      </w:rPr>
      <w:t xml:space="preserve">	Child: ________________________   DOB: 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80" w:before="60"/>
      <w:outlineLvl w:val="0"/>
    </w:pPr>
    <w:rPr>
      <w:rFonts w:ascii="Arial" w:cs="Arial" w:eastAsia="Arial" w:hAnsi="Arial"/>
      <w:b/>
      <w:bCs/>
      <w:color w:val="1F3A5F"/>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Source Statement of Child's Functioning - Adolescents (Age 12 to Attainment of Age 18)</dc:title>
  <dc:creator>Counsel for claimant</dc:creator>
  <cp:lastModifiedBy>Un-named</cp:lastModifiedBy>
  <cp:revision>1</cp:revision>
  <dcterms:created xsi:type="dcterms:W3CDTF">2026-09-22T18:37:59.228Z</dcterms:created>
  <dcterms:modified xsi:type="dcterms:W3CDTF">2026-09-22T18:37:59.228Z</dcterms:modified>
</cp:coreProperties>
</file>

<file path=docProps/custom.xml><?xml version="1.0" encoding="utf-8"?>
<Properties xmlns="http://schemas.openxmlformats.org/officeDocument/2006/custom-properties" xmlns:vt="http://schemas.openxmlformats.org/officeDocument/2006/docPropsVTypes"/>
</file>