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b/>
          <w:bCs/>
          <w:color w:val="1F3A5F"/>
          <w:sz w:val="28"/>
          <w:szCs w:val="28"/>
        </w:rPr>
        <w:t xml:space="preserve">MEDICAL SOURCE STATEMENT OF CHILD’S FUNCTIONING (SSI)</w:t>
      </w:r>
    </w:p>
    <w:p>
      <w:pPr>
        <w:spacing w:after="120"/>
        <w:jc w:val="center"/>
      </w:pPr>
      <w:r>
        <w:rPr>
          <w:b/>
          <w:bCs/>
          <w:color w:val="1F3A5F"/>
          <w:sz w:val="21"/>
          <w:szCs w:val="21"/>
        </w:rPr>
        <w:t xml:space="preserve">Preschool Children (Age 3 to Attainment of Age 6)</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Child’s name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 of birth</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Age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Parent / guardian</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by (date)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to</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00"/>
      </w:pPr>
    </w:p>
    <w:p>
      <w:pPr>
        <w:spacing w:after="100" w:before="0"/>
      </w:pPr>
      <w:r>
        <w:rPr>
          <w:b/>
          <w:bCs/>
          <w:sz w:val="19"/>
          <w:szCs w:val="19"/>
        </w:rPr>
        <w:t xml:space="preserve">Instructions. </w:t>
      </w:r>
      <w:r>
        <w:rPr>
          <w:sz w:val="19"/>
          <w:szCs w:val="19"/>
        </w:rPr>
        <w:t xml:space="preserve">SSA compares the child’s functioning with that of other children the same age who do not have impairments, looking at “how appropriately, effectively, and independently” the child performs activities (20 CFR 416.926a(b)). For each of the six domains below, SSA’s regulatory description is quoted (“you” means the child). Please rate only limitations caused by the child’s medically determinable impairment(s), considering all impairments together, and consider how the child would function without extra help, supervision, medication, or a structured or supportive setting (20 CFR 416.924a(b)(5)). Check “Unable to assess” rather than estimating. Your explanations are the most important part of this form; please cite supporting findings, test results, and observations, and attach additional pages or records if needed.</w:t>
      </w:r>
    </w:p>
    <w:p>
      <w:pPr>
        <w:spacing w:after="100" w:before="0"/>
      </w:pPr>
      <w:r>
        <w:rPr>
          <w:b/>
          <w:bCs/>
          <w:sz w:val="19"/>
          <w:szCs w:val="19"/>
        </w:rPr>
        <w:t xml:space="preserve">How SSA uses the ratings. </w:t>
      </w:r>
      <w:r>
        <w:rPr>
          <w:sz w:val="19"/>
          <w:szCs w:val="19"/>
        </w:rPr>
        <w:t xml:space="preserve">A child’s impairment(s) “functionally equals the listings” if it results in “marked” limitations in two domains or an “extreme” limitation in one domain (20 CFR 416.926a(a), (d)). “Less than marked” means a limitation exists but does not rise to the level defined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Marked </w:t>
            </w:r>
            <w:r>
              <w:rPr>
                <w:i/>
                <w:iCs/>
                <w:sz w:val="18"/>
                <w:szCs w:val="18"/>
              </w:rPr>
              <w:t xml:space="preserve">(20 CFR 416.926a(e)(2)): </w:t>
            </w:r>
            <w:r>
              <w:rPr>
                <w:sz w:val="18"/>
                <w:szCs w:val="18"/>
              </w:rPr>
              <w:t xml:space="preserve">“. . . your impairment(s) interferes seriously with your ability to independently initiate, sustain, or complete activities. . . . ‘Marked’ limitation also means a limitation that is ‘more than moderate’ but ‘less than extreme.’ It is the equivalent of the functioning we would expect to find on standardized testing with scores that are at least two, but less than three, standard deviations below the mean.”</w:t>
            </w:r>
          </w:p>
          <w:p>
            <w:pPr>
              <w:spacing w:after="60" w:before="0"/>
            </w:pPr>
            <w:r>
              <w:rPr>
                <w:b/>
                <w:bCs/>
                <w:sz w:val="18"/>
                <w:szCs w:val="18"/>
              </w:rPr>
              <w:t xml:space="preserve">Extreme </w:t>
            </w:r>
            <w:r>
              <w:rPr>
                <w:i/>
                <w:iCs/>
                <w:sz w:val="18"/>
                <w:szCs w:val="18"/>
              </w:rPr>
              <w:t xml:space="preserve">(20 CFR 416.926a(e)(3)): </w:t>
            </w:r>
            <w:r>
              <w:rPr>
                <w:sz w:val="18"/>
                <w:szCs w:val="18"/>
              </w:rPr>
              <w:t xml:space="preserve">“. . . your impairment(s) interferes very seriously with your ability to independently initiate, sustain, or complete activities. . . . ‘Extreme’ limitation is the rating we give to the worst limitations. However, ‘extreme limitation’ does not necessarily mean a total lack or loss of ability to function. It is the equivalent of the functioning we would expect to find on standardized testing with scores that are at least three standard deviations below the mean.”</w:t>
            </w:r>
          </w:p>
          <w:p>
            <w:pPr>
              <w:spacing w:after="20" w:before="0"/>
            </w:pPr>
            <w:r>
              <w:rPr>
                <w:b/>
                <w:bCs/>
                <w:sz w:val="18"/>
                <w:szCs w:val="18"/>
              </w:rPr>
              <w:t xml:space="preserve">Test scores </w:t>
            </w:r>
            <w:r>
              <w:rPr>
                <w:i/>
                <w:iCs/>
                <w:sz w:val="18"/>
                <w:szCs w:val="18"/>
              </w:rPr>
              <w:t xml:space="preserve">(416.926a(e)(4)): </w:t>
            </w:r>
            <w:r>
              <w:rPr>
                <w:sz w:val="18"/>
                <w:szCs w:val="18"/>
              </w:rPr>
              <w:t xml:space="preserve">SSA will not rely on a test score alone; scores are considered with the child’s day-to-day functioning.</w:t>
            </w:r>
          </w:p>
        </w:tc>
      </w:tr>
    </w:tbl>
    <w:p>
      <w:r>
        <w:br w:type="page"/>
      </w:r>
    </w:p>
    <w:p>
      <w:pPr>
        <w:pStyle w:val="Heading1"/>
        <w:keepNext/>
        <w:spacing w:after="120" w:before="120"/>
      </w:pPr>
      <w:r>
        <w:t xml:space="preserve">Part A. Treatment, Diagnoses, and Testing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Your name / specialty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Treating since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Visit frequency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Most recent visit</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680"/>
        <w:gridCol w:w="1600"/>
        <w:gridCol w:w="2800"/>
      </w:tblGrid>
      <w:tr>
        <w:trPr>
          <w:tblHeader/>
        </w:trPr>
        <w:tc>
          <w:tcPr>
            <w:tcW w:type="dxa" w:w="56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Diagnoses</w:t>
            </w:r>
          </w:p>
        </w:tc>
        <w:tc>
          <w:tcPr>
            <w:tcW w:type="dxa" w:w="1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ICD-10</w:t>
            </w:r>
          </w:p>
        </w:tc>
        <w:tc>
          <w:tcPr>
            <w:tcW w:type="dxa" w:w="28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Onset / date diagnosed</w:t>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200"/>
        <w:gridCol w:w="46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Standardized test (developmental, cognitive, achievement, speech, adaptive, motor)</w:t>
            </w:r>
          </w:p>
        </w:tc>
        <w:tc>
          <w:tcPr>
            <w:tcW w:type="dxa" w:w="12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w:t>
            </w:r>
          </w:p>
        </w:tc>
        <w:tc>
          <w:tcPr>
            <w:tcW w:type="dxa" w:w="4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Scores (standard score, SD, percentile, or age equivalent)</w:t>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500"/>
        <w:gridCol w:w="43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Medications and other treatment (therapies, early intervention, special education)</w:t>
            </w:r>
          </w:p>
        </w:tc>
        <w:tc>
          <w:tcPr>
            <w:tcW w:type="dxa" w:w="15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Frequency</w:t>
            </w:r>
          </w:p>
        </w:tc>
        <w:tc>
          <w:tcPr>
            <w:tcW w:type="dxa" w:w="43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Benefits / side effects affecting functioning</w:t>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Key clinical findings and signs, hospitalizations or surgeries in the past two years, and prognosis:</w:t>
            </w:r>
          </w:p>
        </w:tc>
      </w:tr>
      <w:tr>
        <w:trPr>
          <w:trHeight w:val="15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1: Acquiring and Using Information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416.926a(g); SSR 09-3p; POMS DI 25225.030): </w:t>
            </w:r>
            <w:r>
              <w:rPr>
                <w:sz w:val="18"/>
                <w:szCs w:val="18"/>
              </w:rPr>
              <w:t xml:space="preserve">“In this domain, we consider how well you acquire or learn information, and how well you use the information you have learned.”</w:t>
            </w:r>
          </w:p>
          <w:p>
            <w:pPr>
              <w:spacing w:after="20" w:before="0"/>
            </w:pPr>
            <w:r>
              <w:rPr>
                <w:b/>
                <w:bCs/>
                <w:sz w:val="18"/>
                <w:szCs w:val="18"/>
              </w:rPr>
              <w:t xml:space="preserve">Typical functioning at this age </w:t>
            </w:r>
            <w:r>
              <w:rPr>
                <w:i/>
                <w:iCs/>
                <w:sz w:val="18"/>
                <w:szCs w:val="18"/>
              </w:rPr>
              <w:t xml:space="preserve">(416.926a(g)(2)(iii)): </w:t>
            </w:r>
            <w:r>
              <w:rPr>
                <w:sz w:val="18"/>
                <w:szCs w:val="18"/>
              </w:rPr>
              <w:t xml:space="preserve">“When you are old enough to go to preschool or kindergarten, you should begin to learn and use the skills that will help you to read and write and do arithmetic when you are older. For example, listening to stories, rhyming words, and matching letters are skills needed for learning to read. Counting, sorting shapes, and building with blocks are skills needed to learn math. Painting, coloring, copying shapes, and using scissors are some of the skills needed in learning to write. Using words to ask questions, give answers, follow directions, describe things, explain what you mean, and tell stories allows you to acquire and share knowledge and experience of the world around you. All of these are called “readiness skills,” and you should have them by the time you begin first grade.”</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Acquiring and Using Information: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2: Attending and Completing Tasks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416.926a(h); SSR 09-4p; POMS DI 25225.035): </w:t>
            </w:r>
            <w:r>
              <w:rPr>
                <w:sz w:val="18"/>
                <w:szCs w:val="18"/>
              </w:rPr>
              <w:t xml:space="preserve">“In this domain, we consider how well you are able to focus and maintain your attention, and how well you begin, carry through, and finish your activities, including the pace at which you perform activities and the ease with which you change them.”</w:t>
            </w:r>
          </w:p>
          <w:p>
            <w:pPr>
              <w:spacing w:after="20" w:before="0"/>
            </w:pPr>
            <w:r>
              <w:rPr>
                <w:b/>
                <w:bCs/>
                <w:sz w:val="18"/>
                <w:szCs w:val="18"/>
              </w:rPr>
              <w:t xml:space="preserve">Typical functioning at this age </w:t>
            </w:r>
            <w:r>
              <w:rPr>
                <w:i/>
                <w:iCs/>
                <w:sz w:val="18"/>
                <w:szCs w:val="18"/>
              </w:rPr>
              <w:t xml:space="preserve">(416.926a(h)(2)(iii)): </w:t>
            </w:r>
            <w:r>
              <w:rPr>
                <w:sz w:val="18"/>
                <w:szCs w:val="18"/>
              </w:rPr>
              <w:t xml:space="preserve">“As a preschooler, you should be able to pay attention when you are spoken to directly, sustain attention to your play and learning activities, and concentrate on activities like putting puzzles together or completing art projects. You should also be able to focus long enough to do many more things by yourself, such as getting your clothes together and dressing yourself, feeding yourself, or putting away your toys. You should usually be able to wait your turn and to change your activity when a caregiver or teacher says it is time to do something else.”</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Attending and Completing Tasks: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3: Interacting and Relating with Others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416.926a(i); SSR 09-5p; POMS DI 25225.040): </w:t>
            </w:r>
            <w:r>
              <w:rPr>
                <w:sz w:val="18"/>
                <w:szCs w:val="18"/>
              </w:rPr>
              <w:t xml:space="preserve">“In this domain, we consider how well you initiate and sustain emotional connections with others, develop and use the language of your community, cooperate with others, comply with rules, respond to criticism, and respect and take care of the possessions of others.”</w:t>
            </w:r>
          </w:p>
          <w:p>
            <w:pPr>
              <w:spacing w:after="20" w:before="0"/>
            </w:pPr>
            <w:r>
              <w:rPr>
                <w:b/>
                <w:bCs/>
                <w:sz w:val="18"/>
                <w:szCs w:val="18"/>
              </w:rPr>
              <w:t xml:space="preserve">Typical functioning at this age </w:t>
            </w:r>
            <w:r>
              <w:rPr>
                <w:i/>
                <w:iCs/>
                <w:sz w:val="18"/>
                <w:szCs w:val="18"/>
              </w:rPr>
              <w:t xml:space="preserve">(416.926a(i)(2)(iii)): </w:t>
            </w:r>
            <w:r>
              <w:rPr>
                <w:sz w:val="18"/>
                <w:szCs w:val="18"/>
              </w:rPr>
              <w:t xml:space="preserve">“At this age, you should be able to socialize with children as well as adults. You should begin to prefer playmates your own age and start to develop friendships with children who are your age. You should be able to use words instead of actions to express yourself, and also be better able to share, show affection, and offer to help. You should be able to relate to caregivers with increasing independence, choose your own friends, and play cooperatively with other children, one-at-a-time or in a group, without continual adult supervision. You should be able to initiate and participate in conversations, using increasingly complex vocabulary and grammar, and speaking clearly enough that both familiar and unfamiliar listeners can understand what you say most of the time.”</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Interacting and Relating with Others: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4: Moving About and Manipulating Objects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416.926a(j); SSR 09-6p; POMS DI 25225.045): </w:t>
            </w:r>
            <w:r>
              <w:rPr>
                <w:sz w:val="18"/>
                <w:szCs w:val="18"/>
              </w:rPr>
              <w:t xml:space="preserve">“In this domain, we consider how you move your body from one place to another and how you move and manipulate things. These are called gross and fine motor skills.”</w:t>
            </w:r>
          </w:p>
          <w:p>
            <w:pPr>
              <w:spacing w:after="20" w:before="0"/>
            </w:pPr>
            <w:r>
              <w:rPr>
                <w:b/>
                <w:bCs/>
                <w:sz w:val="18"/>
                <w:szCs w:val="18"/>
              </w:rPr>
              <w:t xml:space="preserve">Typical functioning at this age </w:t>
            </w:r>
            <w:r>
              <w:rPr>
                <w:i/>
                <w:iCs/>
                <w:sz w:val="18"/>
                <w:szCs w:val="18"/>
              </w:rPr>
              <w:t xml:space="preserve">(416.926a(j)(2)(iii)): </w:t>
            </w:r>
            <w:r>
              <w:rPr>
                <w:sz w:val="18"/>
                <w:szCs w:val="18"/>
              </w:rPr>
              <w:t xml:space="preserve">“As a preschooler, you should be able to walk and run with ease. Your gross motor skills should let you climb stairs and playground equipment with little supervision, and let you play more independently; e.g., you should be able to swing by yourself and may start learning to ride a tricycle. Your fine motor skills should also be developing. You should be able to complete puzzles easily, string beads, and build with an assortment of blocks. You should be showing increasing control of crayons, markers, and small pieces in board games, and should be able to cut with scissors independently and manipulate buttons and other fasteners.”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Moving About and Manipulating Objects: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5: Caring for Yourself</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416.926a(k); SSR 09-7p; POMS DI 25225.050): </w:t>
            </w:r>
            <w:r>
              <w:rPr>
                <w:sz w:val="18"/>
                <w:szCs w:val="18"/>
              </w:rPr>
              <w:t xml:space="preserve">“In this domain, we consider how well you maintain a healthy emotional and physical state, including how well you get your physical and emotional wants and needs met in appropriate ways; how you cope with stress and changes in your environment; and whether you take care of your own health, possessions, and living area.”</w:t>
            </w:r>
          </w:p>
          <w:p>
            <w:pPr>
              <w:spacing w:after="20" w:before="0"/>
            </w:pPr>
            <w:r>
              <w:rPr>
                <w:b/>
                <w:bCs/>
                <w:sz w:val="18"/>
                <w:szCs w:val="18"/>
              </w:rPr>
              <w:t xml:space="preserve">Typical functioning at this age </w:t>
            </w:r>
            <w:r>
              <w:rPr>
                <w:i/>
                <w:iCs/>
                <w:sz w:val="18"/>
                <w:szCs w:val="18"/>
              </w:rPr>
              <w:t xml:space="preserve">(416.926a(k)(2)(iii)): </w:t>
            </w:r>
            <w:r>
              <w:rPr>
                <w:sz w:val="18"/>
                <w:szCs w:val="18"/>
              </w:rPr>
              <w:t xml:space="preserve">“You should want to take care of many of your physical needs by yourself (e.g., putting on your shoes, getting a snack), and also want to try doing some things that you cannot do fully (e.g., tying your shoes, climbing on a chair to reach something up high, taking a bath). Early in this age range, it may be easy for you to agree to do what your caregiver asks. Later, that may be difficult for you because you want to do things your way or not at all. These changes usually mean that you are more confident about your ideas and what you are able to do. You should also begin to understand how to control behaviors that are not good for you (e.g., crossing the street without an adult).”</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Caring for Yourself: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68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6: Health and Physical Well-Being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416.926a(l); SSR 09-8p; POMS DI 25225.055): </w:t>
            </w:r>
            <w:r>
              <w:rPr>
                <w:sz w:val="18"/>
                <w:szCs w:val="18"/>
              </w:rPr>
              <w:t xml:space="preserve">“In this domain, we consider the cumulative physical effects of physical or mental impairments and their associated treatments or therapies on your functioning that we did not consider in paragraph (j) of this section.” There are no age-group descriptors for this domain.</w:t>
            </w:r>
          </w:p>
          <w:p>
            <w:pPr>
              <w:spacing w:after="20" w:before="0"/>
            </w:pPr>
            <w:r>
              <w:rPr>
                <w:b/>
                <w:bCs/>
                <w:sz w:val="18"/>
                <w:szCs w:val="18"/>
              </w:rPr>
              <w:t xml:space="preserve">Marked </w:t>
            </w:r>
            <w:r>
              <w:rPr>
                <w:i/>
                <w:iCs/>
                <w:sz w:val="18"/>
                <w:szCs w:val="18"/>
              </w:rPr>
              <w:t xml:space="preserve">(416.926a(e)(2)(iv)): </w:t>
            </w:r>
            <w:r>
              <w:rPr>
                <w:sz w:val="18"/>
                <w:szCs w:val="18"/>
              </w:rPr>
              <w:t xml:space="preserve">may also be found “if you are frequently ill because of your impairment(s) or have frequent exacerbations of your impairment(s) that result in significant, documented symptoms or signs. For purposes of this domain, ‘frequent means that you have episodes of illness or exacerbations that occur on an average of 3 times a year, or once every 4 months, each lasting 2 weeks or more.” More frequent but shorter, or less frequent but longer, episodes may qualify if equivalent in overall effect. An extreme limitation requires episodes “substantially in excess” of these requirements (416.926a(e)(3)(iv)).</w:t>
            </w:r>
          </w:p>
        </w:tc>
      </w:tr>
    </w:tbl>
    <w:p>
      <w:pPr>
        <w:spacing w:after="60"/>
      </w:pPr>
    </w:p>
    <w:p>
      <w:pPr>
        <w:spacing w:after="40" w:before="0"/>
      </w:pPr>
      <w:r>
        <w:rPr>
          <w:b/>
          <w:bCs/>
          <w:sz w:val="18"/>
          <w:szCs w:val="18"/>
        </w:rPr>
        <w:t xml:space="preserve">Physical effects of impairment(s) or treatment (check all that apply):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Weakness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Dizziness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Shortness of breath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Fatigue / low stamina</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Pain</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Headaches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Recurrent infections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Allergic reactions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Poor growth / weight change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Incontinence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Nausea / stomach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Seizures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Insomnia</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Psychomotor slowing</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Medication side effects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Treatment burden*</w:t>
            </w:r>
          </w:p>
        </w:tc>
      </w:tr>
    </w:tbl>
    <w:p>
      <w:pPr>
        <w:spacing w:after="60" w:before="0"/>
      </w:pPr>
      <w:r>
        <w:rPr>
          <w:i/>
          <w:iCs/>
          <w:sz w:val="16"/>
          <w:szCs w:val="16"/>
        </w:rPr>
        <w:t xml:space="preserve">*e.g., multiple surgeries, chemotherapy, nebulizer treatments, frequent therapy that limits activities or school attendance.</w:t>
      </w:r>
    </w:p>
    <w:p>
      <w:pPr>
        <w:spacing w:after="20" w:before="0"/>
      </w:pPr>
      <w:r>
        <w:rPr>
          <w:b/>
          <w:bCs/>
          <w:sz w:val="18"/>
          <w:szCs w:val="18"/>
        </w:rPr>
        <w:t xml:space="preserve">Past 12 months: </w:t>
      </w:r>
      <w:r>
        <w:rPr>
          <w:sz w:val="18"/>
          <w:szCs w:val="18"/>
        </w:rPr>
        <w:t xml:space="preserve">number of episodes of illness or exacerbation ______; typical duration of each ______; hospitalizations ______.  Medically fragile, needing intensive medical care?</w:t>
      </w:r>
    </w:p>
    <w:p>
      <w:pPr>
        <w:spacing w:after="6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Health and Physical Well-Being: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including dates of episodes and supporting records:</w:t>
            </w:r>
          </w:p>
        </w:tc>
      </w:tr>
      <w:tr>
        <w:trPr>
          <w:trHeight w:val="3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Part B. Other Factors, Duration, and Signature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Extra help, supervision, assistive devices, and structured or supportive settings the child needs, and how the child functions without them (20 CFR 416.924a(b)(5)). Limitations that persist despite treatment (416.924a(b)(9)):</w:t>
            </w:r>
          </w:p>
        </w:tc>
      </w:tr>
      <w:tr>
        <w:trPr>
          <w:trHeight w:val="20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p>
      <w:pPr>
        <w:spacing w:after="20" w:before="0"/>
      </w:pPr>
      <w:r>
        <w:rPr>
          <w:b/>
          <w:bCs/>
          <w:sz w:val="18"/>
          <w:szCs w:val="18"/>
        </w:rPr>
        <w:t xml:space="preserve">Is the child’s presentation in your office representative of daily functioning? </w:t>
      </w:r>
      <w:r>
        <w:rPr>
          <w:sz w:val="18"/>
          <w:szCs w:val="18"/>
        </w:rPr>
        <w:t xml:space="preserve">(416.924a(b)(6))</w:t>
      </w:r>
    </w:p>
    <w:p>
      <w:pPr>
        <w:spacing w:after="8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Less impaired in office      </w:t>
      </w:r>
      <w:r>
        <w:rPr>
          <w:rFonts w:ascii="Segoe UI Symbol" w:cs="Segoe UI Symbol" w:eastAsia="Segoe UI Symbol" w:hAnsi="Segoe UI Symbol"/>
        </w:rPr>
        <w:t xml:space="preserve">☐</w:t>
      </w:r>
      <w:r>
        <w:rPr>
          <w:sz w:val="18"/>
          <w:szCs w:val="18"/>
        </w:rPr>
        <w:t xml:space="preserve"> More impaired in office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980"/>
        <w:gridCol w:w="3100"/>
      </w:tblGrid>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Complete inability to function independently outside the area of the home within age-appropriate norms, due to physical or combined physical and mental impairment(s) (416.926a(m)(1))</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Requirement for 24-hour-a-day supervision for medical (including psychological) reasons (416.926a(m)(2))</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Have the limitations lasted, or are they expected to last, at least 12 continuous months? (20 CFR 416.909)</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Is the impairment expected to result in death?</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bl>
    <w:p>
      <w:pPr>
        <w:spacing w:after="80"/>
      </w:pPr>
    </w:p>
    <w:p>
      <w:pPr>
        <w:spacing w:after="80" w:before="0"/>
      </w:pPr>
      <w:r>
        <w:rPr>
          <w:b/>
          <w:bCs/>
          <w:sz w:val="18"/>
          <w:szCs w:val="18"/>
        </w:rPr>
        <w:t xml:space="preserve">The limitations described have existed at approximately this level since (date): </w:t>
      </w:r>
      <w:r>
        <w:rPr>
          <w:sz w:val="18"/>
          <w:szCs w:val="18"/>
        </w:rPr>
        <w:t xml:space="preserve">____________</w:t>
      </w:r>
    </w:p>
    <w:p>
      <w:pPr>
        <w:spacing w:after="20" w:before="0"/>
      </w:pPr>
      <w:r>
        <w:rPr>
          <w:b/>
          <w:bCs/>
          <w:sz w:val="18"/>
          <w:szCs w:val="18"/>
        </w:rPr>
        <w:t xml:space="preserve">Sources relied on: </w:t>
      </w:r>
    </w:p>
    <w:p>
      <w:pPr>
        <w:spacing w:after="80" w:before="0"/>
      </w:pPr>
      <w:r>
        <w:rPr>
          <w:rFonts w:ascii="Segoe UI Symbol" w:cs="Segoe UI Symbol" w:eastAsia="Segoe UI Symbol" w:hAnsi="Segoe UI Symbol"/>
        </w:rPr>
        <w:t xml:space="preserve">☐</w:t>
      </w:r>
      <w:r>
        <w:rPr>
          <w:sz w:val="17"/>
          <w:szCs w:val="17"/>
        </w:rPr>
        <w:t xml:space="preserve"> My exam/treatment      </w:t>
      </w:r>
      <w:r>
        <w:rPr>
          <w:rFonts w:ascii="Segoe UI Symbol" w:cs="Segoe UI Symbol" w:eastAsia="Segoe UI Symbol" w:hAnsi="Segoe UI Symbol"/>
        </w:rPr>
        <w:t xml:space="preserve">☐</w:t>
      </w:r>
      <w:r>
        <w:rPr>
          <w:sz w:val="17"/>
          <w:szCs w:val="17"/>
        </w:rPr>
        <w:t xml:space="preserve"> Testing      </w:t>
      </w:r>
      <w:r>
        <w:rPr>
          <w:rFonts w:ascii="Segoe UI Symbol" w:cs="Segoe UI Symbol" w:eastAsia="Segoe UI Symbol" w:hAnsi="Segoe UI Symbol"/>
        </w:rPr>
        <w:t xml:space="preserve">☐</w:t>
      </w:r>
      <w:r>
        <w:rPr>
          <w:sz w:val="17"/>
          <w:szCs w:val="17"/>
        </w:rPr>
        <w:t xml:space="preserve"> Parent report      </w:t>
      </w:r>
      <w:r>
        <w:rPr>
          <w:rFonts w:ascii="Segoe UI Symbol" w:cs="Segoe UI Symbol" w:eastAsia="Segoe UI Symbol" w:hAnsi="Segoe UI Symbol"/>
        </w:rPr>
        <w:t xml:space="preserve">☐</w:t>
      </w:r>
      <w:r>
        <w:rPr>
          <w:sz w:val="17"/>
          <w:szCs w:val="17"/>
        </w:rPr>
        <w:t xml:space="preserve"> School/IEP records      </w:t>
      </w:r>
      <w:r>
        <w:rPr>
          <w:rFonts w:ascii="Segoe UI Symbol" w:cs="Segoe UI Symbol" w:eastAsia="Segoe UI Symbol" w:hAnsi="Segoe UI Symbol"/>
        </w:rPr>
        <w:t xml:space="preserve">☐</w:t>
      </w:r>
      <w:r>
        <w:rPr>
          <w:sz w:val="17"/>
          <w:szCs w:val="17"/>
        </w:rPr>
        <w:t xml:space="preserve"> Therapist reports      </w:t>
      </w:r>
      <w:r>
        <w:rPr>
          <w:rFonts w:ascii="Segoe UI Symbol" w:cs="Segoe UI Symbol" w:eastAsia="Segoe UI Symbol" w:hAnsi="Segoe UI Symbol"/>
        </w:rPr>
        <w:t xml:space="preserve">☐</w:t>
      </w:r>
      <w:r>
        <w:rPr>
          <w:sz w:val="17"/>
          <w:szCs w:val="17"/>
        </w:rPr>
        <w:t xml:space="preserve"> Other records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Additional comments (including any listing you believe is met or equaled):</w:t>
            </w:r>
          </w:p>
        </w:tc>
      </w:tr>
      <w:tr>
        <w:trPr>
          <w:trHeight w:val="1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Signature</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Date</w:t>
            </w:r>
          </w:p>
        </w:tc>
      </w:tr>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Printed name, credentials, and specialty</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Practice address and telephone</w:t>
            </w:r>
          </w:p>
        </w:tc>
      </w:tr>
    </w:tbl>
    <w:sectPr>
      <w:headerReference w:type="default" r:id="rId7"/>
      <w:footerReference w:type="default" r:id="rId8"/>
      <w:pgSz w:w="12240" w:h="15840" w:orient="portrait"/>
      <w:pgMar w:top="1000" w:right="1080" w:bottom="900" w:left="108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t xml:space="preserve">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F8C99" w:sz="4" w:space="4"/>
      </w:pBdr>
      <w:tabs>
        <w:tab w:val="right" w:pos="10080"/>
      </w:tabs>
    </w:pPr>
    <w:r>
      <w:rPr>
        <w:color w:val="555555"/>
        <w:sz w:val="16"/>
        <w:szCs w:val="16"/>
      </w:rPr>
      <w:t xml:space="preserve">Child’s Functioning — Age 3 to 6</w:t>
    </w:r>
    <w:r>
      <w:rPr>
        <w:color w:val="555555"/>
        <w:sz w:val="16"/>
        <w:szCs w:val="16"/>
      </w:rPr>
      <w:t xml:space="preserve">	Child: ________________________   DOB: 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60"/>
      <w:outlineLvl w:val="0"/>
    </w:pPr>
    <w:rPr>
      <w:rFonts w:ascii="Arial" w:cs="Arial" w:eastAsia="Arial" w:hAnsi="Arial"/>
      <w:b/>
      <w:bCs/>
      <w:color w:val="1F3A5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Source Statement of Child's Functioning - Preschool Children (Age 3 to Attainment of Age 6)</dc:title>
  <dc:creator>Counsel for claimant</dc:creator>
  <cp:lastModifiedBy>Un-named</cp:lastModifiedBy>
  <cp:revision>1</cp:revision>
  <dcterms:created xsi:type="dcterms:W3CDTF">2026-09-22T18:37:59.114Z</dcterms:created>
  <dcterms:modified xsi:type="dcterms:W3CDTF">2026-09-22T18:37:59.114Z</dcterms:modified>
</cp:coreProperties>
</file>

<file path=docProps/custom.xml><?xml version="1.0" encoding="utf-8"?>
<Properties xmlns="http://schemas.openxmlformats.org/officeDocument/2006/custom-properties" xmlns:vt="http://schemas.openxmlformats.org/officeDocument/2006/docPropsVTypes"/>
</file>