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A5F"/>
          <w:sz w:val="28"/>
          <w:szCs w:val="28"/>
        </w:rPr>
        <w:t xml:space="preserve">MEDICAL SOURCE STATEMENT OF CHILD’S FUNCTIONING (SSI)</w:t>
      </w:r>
    </w:p>
    <w:p>
      <w:pPr>
        <w:spacing w:after="120"/>
        <w:jc w:val="center"/>
      </w:pPr>
      <w:r>
        <w:rPr>
          <w:b/>
          <w:bCs/>
          <w:color w:val="1F3A5F"/>
          <w:sz w:val="21"/>
          <w:szCs w:val="21"/>
        </w:rPr>
        <w:t xml:space="preserve">School-Age Children (Age 6 to Attainment of Age 12)</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Child’s name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 of birth</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Age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Parent / guardian</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by (date)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to</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00"/>
      </w:pPr>
    </w:p>
    <w:p>
      <w:pPr>
        <w:spacing w:after="100" w:before="0"/>
      </w:pPr>
      <w:r>
        <w:rPr>
          <w:b/>
          <w:bCs/>
          <w:sz w:val="19"/>
          <w:szCs w:val="19"/>
        </w:rPr>
        <w:t xml:space="preserve">Instructions. </w:t>
      </w:r>
      <w:r>
        <w:rPr>
          <w:sz w:val="19"/>
          <w:szCs w:val="19"/>
        </w:rPr>
        <w:t xml:space="preserve">SSA compares the child’s functioning with that of other children the same age who do not have impairments, looking at “how appropriately, effectively, and independently” the child performs activities (20 CFR 416.926a(b)). For each of the six domains below, SSA’s regulatory description is quoted (“you” means the child). Please rate only limitations caused by the child’s medically determinable impairment(s), considering all impairments together, and consider how the child would function without extra help, supervision, medication, or a structured or supportive setting (20 CFR 416.924a(b)(5)). Check “Unable to assess” rather than estimating. Your explanations are the most important part of this form; please cite supporting findings, test results, and observations, and attach additional pages or records if needed.</w:t>
      </w:r>
    </w:p>
    <w:p>
      <w:pPr>
        <w:spacing w:after="100" w:before="0"/>
      </w:pPr>
      <w:r>
        <w:rPr>
          <w:b/>
          <w:bCs/>
          <w:sz w:val="19"/>
          <w:szCs w:val="19"/>
        </w:rPr>
        <w:t xml:space="preserve">How SSA uses the ratings. </w:t>
      </w:r>
      <w:r>
        <w:rPr>
          <w:sz w:val="19"/>
          <w:szCs w:val="19"/>
        </w:rPr>
        <w:t xml:space="preserve">A child’s impairment(s) “functionally equals the listings” if it results in “marked” limitations in two domains or an “extreme” limitation in one domain (20 CFR 416.926a(a), (d)). “Less than marked” means a limitation exists but does not rise to the level defined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Marked </w:t>
            </w:r>
            <w:r>
              <w:rPr>
                <w:i/>
                <w:iCs/>
                <w:sz w:val="18"/>
                <w:szCs w:val="18"/>
              </w:rPr>
              <w:t xml:space="preserve">(20 CFR 416.926a(e)(2)): </w:t>
            </w:r>
            <w:r>
              <w:rPr>
                <w:sz w:val="18"/>
                <w:szCs w:val="18"/>
              </w:rPr>
              <w:t xml:space="preserve">“. . . your impairment(s) interferes seriously with your ability to independently initiate, sustain, or complete activities. . . . ‘Marked’ limitation also means a limitation that is ‘more than moderate’ but ‘less than extreme.’ It is the equivalent of the functioning we would expect to find on standardized testing with scores that are at least two, but less than three, standard deviations below the mean.”</w:t>
            </w:r>
          </w:p>
          <w:p>
            <w:pPr>
              <w:spacing w:after="60" w:before="0"/>
            </w:pPr>
            <w:r>
              <w:rPr>
                <w:b/>
                <w:bCs/>
                <w:sz w:val="18"/>
                <w:szCs w:val="18"/>
              </w:rPr>
              <w:t xml:space="preserve">Extreme </w:t>
            </w:r>
            <w:r>
              <w:rPr>
                <w:i/>
                <w:iCs/>
                <w:sz w:val="18"/>
                <w:szCs w:val="18"/>
              </w:rPr>
              <w:t xml:space="preserve">(20 CFR 416.926a(e)(3)): </w:t>
            </w:r>
            <w:r>
              <w:rPr>
                <w:sz w:val="18"/>
                <w:szCs w:val="18"/>
              </w:rPr>
              <w:t xml:space="preserve">“. . . your impairment(s) interferes very seriously with your ability to independently initiate, sustain, or complete activities. . . . ‘Extreme’ limitation is the rating we give to the worst limitations. However, ‘extreme limitation’ does not necessarily mean a total lack or loss of ability to function. It is the equivalent of the functioning we would expect to find on standardized testing with scores that are at least three standard deviations below the mean.”</w:t>
            </w:r>
          </w:p>
          <w:p>
            <w:pPr>
              <w:spacing w:after="20" w:before="0"/>
            </w:pPr>
            <w:r>
              <w:rPr>
                <w:b/>
                <w:bCs/>
                <w:sz w:val="18"/>
                <w:szCs w:val="18"/>
              </w:rPr>
              <w:t xml:space="preserve">Test scores </w:t>
            </w:r>
            <w:r>
              <w:rPr>
                <w:i/>
                <w:iCs/>
                <w:sz w:val="18"/>
                <w:szCs w:val="18"/>
              </w:rPr>
              <w:t xml:space="preserve">(416.926a(e)(4)): </w:t>
            </w:r>
            <w:r>
              <w:rPr>
                <w:sz w:val="18"/>
                <w:szCs w:val="18"/>
              </w:rPr>
              <w:t xml:space="preserve">SSA will not rely on a test score alone; scores are considered with the child’s day-to-day functioning.</w:t>
            </w:r>
          </w:p>
        </w:tc>
      </w:tr>
    </w:tbl>
    <w:p>
      <w:r>
        <w:br w:type="page"/>
      </w:r>
    </w:p>
    <w:p>
      <w:pPr>
        <w:pStyle w:val="Heading1"/>
        <w:keepNext/>
        <w:spacing w:after="120" w:before="120"/>
      </w:pPr>
      <w:r>
        <w:t xml:space="preserve">Part A. Treatment, Diagnoses, and Testing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Your name / specialty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Treating since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Visit frequency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Most recent visit</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680"/>
        <w:gridCol w:w="1600"/>
        <w:gridCol w:w="2800"/>
      </w:tblGrid>
      <w:tr>
        <w:trPr>
          <w:tblHeader/>
        </w:trPr>
        <w:tc>
          <w:tcPr>
            <w:tcW w:type="dxa" w:w="56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Diagnoses</w:t>
            </w:r>
          </w:p>
        </w:tc>
        <w:tc>
          <w:tcPr>
            <w:tcW w:type="dxa" w:w="1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ICD-10</w:t>
            </w:r>
          </w:p>
        </w:tc>
        <w:tc>
          <w:tcPr>
            <w:tcW w:type="dxa" w:w="28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Onset / date diagnosed</w:t>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200"/>
        <w:gridCol w:w="46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Standardized test (developmental, cognitive, achievement, speech, adaptive, motor)</w:t>
            </w:r>
          </w:p>
        </w:tc>
        <w:tc>
          <w:tcPr>
            <w:tcW w:type="dxa" w:w="12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w:t>
            </w:r>
          </w:p>
        </w:tc>
        <w:tc>
          <w:tcPr>
            <w:tcW w:type="dxa" w:w="4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Scores (standard score, SD, percentile, or age equivalent)</w:t>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500"/>
        <w:gridCol w:w="43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Medications and other treatment (therapies, early intervention, special education)</w:t>
            </w:r>
          </w:p>
        </w:tc>
        <w:tc>
          <w:tcPr>
            <w:tcW w:type="dxa" w:w="15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Frequency</w:t>
            </w:r>
          </w:p>
        </w:tc>
        <w:tc>
          <w:tcPr>
            <w:tcW w:type="dxa" w:w="43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Benefits / side effects affecting functioning</w:t>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Key clinical findings and signs, hospitalizations or surgeries in the past two years, and prognosis:</w:t>
            </w:r>
          </w:p>
        </w:tc>
      </w:tr>
      <w:tr>
        <w:trPr>
          <w:trHeight w:val="15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1: Acquiring and Using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416.926a(g); SSR 09-3p; POMS DI 25225.030): </w:t>
            </w:r>
            <w:r>
              <w:rPr>
                <w:sz w:val="18"/>
                <w:szCs w:val="18"/>
              </w:rPr>
              <w:t xml:space="preserve">“In this domain, we consider how well you acquire or learn information, and how well you use the information you have learned.”</w:t>
            </w:r>
          </w:p>
          <w:p>
            <w:pPr>
              <w:spacing w:after="20" w:before="0"/>
            </w:pPr>
            <w:r>
              <w:rPr>
                <w:b/>
                <w:bCs/>
                <w:sz w:val="18"/>
                <w:szCs w:val="18"/>
              </w:rPr>
              <w:t xml:space="preserve">Typical functioning at this age </w:t>
            </w:r>
            <w:r>
              <w:rPr>
                <w:i/>
                <w:iCs/>
                <w:sz w:val="18"/>
                <w:szCs w:val="18"/>
              </w:rPr>
              <w:t xml:space="preserve">(416.926a(g)(2)(iv)): </w:t>
            </w:r>
            <w:r>
              <w:rPr>
                <w:sz w:val="18"/>
                <w:szCs w:val="18"/>
              </w:rPr>
              <w:t xml:space="preserve">“When you are old enough to go to elementary and middle school, you should be able to learn to read, write, and do math, and discuss history and science. You will need to use these skills in academic situations to demonstrate what you have learned; e.g., by reading about various subjects and producing oral and written projects, solving mathematical problems, taking achievement tests, doing group work, and entering into class discussions. You will also need to use these skills in daily living situations at home and in the community (e.g., reading street signs, telling time, and making change). You should be able to use increasingly complex language (vocabulary and grammar) to share information and ideas with individuals or groups, by asking questions and expressing your own ideas, and by understanding and responding to the opinions of others.”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Acquiring and Using Information: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2: Attending and Completing Tasks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416.926a(h); SSR 09-4p; POMS DI 25225.035): </w:t>
            </w:r>
            <w:r>
              <w:rPr>
                <w:sz w:val="18"/>
                <w:szCs w:val="18"/>
              </w:rPr>
              <w:t xml:space="preserve">“In this domain, we consider how well you are able to focus and maintain your attention, and how well you begin, carry through, and finish your activities, including the pace at which you perform activities and the ease with which you change them.”</w:t>
            </w:r>
          </w:p>
          <w:p>
            <w:pPr>
              <w:spacing w:after="20" w:before="0"/>
            </w:pPr>
            <w:r>
              <w:rPr>
                <w:b/>
                <w:bCs/>
                <w:sz w:val="18"/>
                <w:szCs w:val="18"/>
              </w:rPr>
              <w:t xml:space="preserve">Typical functioning at this age </w:t>
            </w:r>
            <w:r>
              <w:rPr>
                <w:i/>
                <w:iCs/>
                <w:sz w:val="18"/>
                <w:szCs w:val="18"/>
              </w:rPr>
              <w:t xml:space="preserve">(416.926a(h)(2)(iv)): </w:t>
            </w:r>
            <w:r>
              <w:rPr>
                <w:sz w:val="18"/>
                <w:szCs w:val="18"/>
              </w:rPr>
              <w:t xml:space="preserve">“When you are of school age, you should be able to focus your attention in a variety of situations in order to follow directions, remember and organize your school materials, and complete classroom and homework assignments. You should be able to concentrate on details and not make careless mistakes in your work (beyond what would be expected in other children your age who do not have impairments). You should be able to change your activities or routines without distracting yourself or others, and stay on task and in place when appropriate. You should be able to sustain your attention well enough to participate in group sports, read by yourself, and complete family chores. You should also be able to complete a transition task (e.g., be ready for the school bus, change clothes after gym, change classrooms) without extra reminders and accommodation.”</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Attending and Completing Tasks: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3: Interacting and Relating with Others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416.926a(i); SSR 09-5p; POMS DI 25225.040): </w:t>
            </w:r>
            <w:r>
              <w:rPr>
                <w:sz w:val="18"/>
                <w:szCs w:val="18"/>
              </w:rPr>
              <w:t xml:space="preserve">“In this domain, we consider how well you initiate and sustain emotional connections with others, develop and use the language of your community, cooperate with others, comply with rules, respond to criticism, and respect and take care of the possessions of others.”</w:t>
            </w:r>
          </w:p>
          <w:p>
            <w:pPr>
              <w:spacing w:after="20" w:before="0"/>
            </w:pPr>
            <w:r>
              <w:rPr>
                <w:b/>
                <w:bCs/>
                <w:sz w:val="18"/>
                <w:szCs w:val="18"/>
              </w:rPr>
              <w:t xml:space="preserve">Typical functioning at this age </w:t>
            </w:r>
            <w:r>
              <w:rPr>
                <w:i/>
                <w:iCs/>
                <w:sz w:val="18"/>
                <w:szCs w:val="18"/>
              </w:rPr>
              <w:t xml:space="preserve">(416.926a(i)(2)(iv)): </w:t>
            </w:r>
            <w:r>
              <w:rPr>
                <w:sz w:val="18"/>
                <w:szCs w:val="18"/>
              </w:rPr>
              <w:t xml:space="preserve">“When you enter school, you should be able to develop more lasting friendships with children who are your age. You should begin to understand how to work in groups to create projects and solve problems. You should have an increasing ability to understand another's point of view and to tolerate differences. You should be well able to talk to people of all ages, to share ideas, tell stories, and to speak in a manner that both familiar and unfamiliar listeners readily understand.”</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Interacting and Relating with Others: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4: Moving About and Manipulating Objects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416.926a(j); SSR 09-6p; POMS DI 25225.045): </w:t>
            </w:r>
            <w:r>
              <w:rPr>
                <w:sz w:val="18"/>
                <w:szCs w:val="18"/>
              </w:rPr>
              <w:t xml:space="preserve">“In this domain, we consider how you move your body from one place to another and how you move and manipulate things. These are called gross and fine motor skills.”</w:t>
            </w:r>
          </w:p>
          <w:p>
            <w:pPr>
              <w:spacing w:after="20" w:before="0"/>
            </w:pPr>
            <w:r>
              <w:rPr>
                <w:b/>
                <w:bCs/>
                <w:sz w:val="18"/>
                <w:szCs w:val="18"/>
              </w:rPr>
              <w:t xml:space="preserve">Typical functioning at this age </w:t>
            </w:r>
            <w:r>
              <w:rPr>
                <w:i/>
                <w:iCs/>
                <w:sz w:val="18"/>
                <w:szCs w:val="18"/>
              </w:rPr>
              <w:t xml:space="preserve">(416.926a(j)(2)(iv)): </w:t>
            </w:r>
            <w:r>
              <w:rPr>
                <w:sz w:val="18"/>
                <w:szCs w:val="18"/>
              </w:rPr>
              <w:t xml:space="preserve">“As a school-age child, your developing gross motor skills should let you move at an efficient pace about your school, home, and neighborhood. Your increasing strength and coordination should expand your ability to enjoy a variety of physical activities, such as running and jumping, and throwing, kicking, catching and hitting balls in informal play or organized sports. Your developing fine motor skills should enable you to do things like use many kitchen and household tools independently, use scissors, and write.”</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Moving About and Manipulating Objects: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5: Caring for Yourself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416.926a(k); SSR 09-7p; POMS DI 25225.050): </w:t>
            </w:r>
            <w:r>
              <w:rPr>
                <w:sz w:val="18"/>
                <w:szCs w:val="18"/>
              </w:rPr>
              <w:t xml:space="preserve">“In this domain, we consider how well you maintain a healthy emotional and physical state, including how well you get your physical and emotional wants and needs met in appropriate ways; how you cope with stress and changes in your environment; and whether you take care of your own health, possessions, and living area.”</w:t>
            </w:r>
          </w:p>
          <w:p>
            <w:pPr>
              <w:spacing w:after="20" w:before="0"/>
            </w:pPr>
            <w:r>
              <w:rPr>
                <w:b/>
                <w:bCs/>
                <w:sz w:val="18"/>
                <w:szCs w:val="18"/>
              </w:rPr>
              <w:t xml:space="preserve">Typical functioning at this age </w:t>
            </w:r>
            <w:r>
              <w:rPr>
                <w:i/>
                <w:iCs/>
                <w:sz w:val="18"/>
                <w:szCs w:val="18"/>
              </w:rPr>
              <w:t xml:space="preserve">(416.926a(k)(2)(iv)): </w:t>
            </w:r>
            <w:r>
              <w:rPr>
                <w:sz w:val="18"/>
                <w:szCs w:val="18"/>
              </w:rPr>
              <w:t xml:space="preserve">“You should be independent in most day-to-day activities (e.g., dressing yourself, bathing yourself), although you may still need to be reminded sometimes to do these routinely. You should begin to recognize that you are competent in doing some activities and that you have difficulty with others. You should be able to identify those circumstances when you feel good about yourself and when you feel bad. You should begin to develop understanding of what is right and wrong, and what is acceptable and unacceptable behavior. You should begin to demonstrate consistent control over your behavior, and you should be able to avoid behaviors that are unsafe or otherwise not good for you. You should begin to imitate more of the behavior of adults you know.”</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Caring for Yourself: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68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6: Health and Physical Well-Being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416.926a(l); SSR 09-8p; POMS DI 25225.055): </w:t>
            </w:r>
            <w:r>
              <w:rPr>
                <w:sz w:val="18"/>
                <w:szCs w:val="18"/>
              </w:rPr>
              <w:t xml:space="preserve">“In this domain, we consider the cumulative physical effects of physical or mental impairments and their associated treatments or therapies on your functioning that we did not consider in paragraph (j) of this section.” There are no age-group descriptors for this domain.</w:t>
            </w:r>
          </w:p>
          <w:p>
            <w:pPr>
              <w:spacing w:after="20" w:before="0"/>
            </w:pPr>
            <w:r>
              <w:rPr>
                <w:b/>
                <w:bCs/>
                <w:sz w:val="18"/>
                <w:szCs w:val="18"/>
              </w:rPr>
              <w:t xml:space="preserve">Marked </w:t>
            </w:r>
            <w:r>
              <w:rPr>
                <w:i/>
                <w:iCs/>
                <w:sz w:val="18"/>
                <w:szCs w:val="18"/>
              </w:rPr>
              <w:t xml:space="preserve">(416.926a(e)(2)(iv)): </w:t>
            </w:r>
            <w:r>
              <w:rPr>
                <w:sz w:val="18"/>
                <w:szCs w:val="18"/>
              </w:rPr>
              <w:t xml:space="preserve">may also be found “if you are frequently ill because of your impairment(s) or have frequent exacerbations of your impairment(s) that result in significant, documented symptoms or signs. For purposes of this domain, ‘frequent means that you have episodes of illness or exacerbations that occur on an average of 3 times a year, or once every 4 months, each lasting 2 weeks or more.” More frequent but shorter, or less frequent but longer, episodes may qualify if equivalent in overall effect. An extreme limitation requires episodes “substantially in excess” of these requirements (416.926a(e)(3)(iv)).</w:t>
            </w:r>
          </w:p>
        </w:tc>
      </w:tr>
    </w:tbl>
    <w:p>
      <w:pPr>
        <w:spacing w:after="60"/>
      </w:pPr>
    </w:p>
    <w:p>
      <w:pPr>
        <w:spacing w:after="40" w:before="0"/>
      </w:pPr>
      <w:r>
        <w:rPr>
          <w:b/>
          <w:bCs/>
          <w:sz w:val="18"/>
          <w:szCs w:val="18"/>
        </w:rPr>
        <w:t xml:space="preserve">Physical effects of impairment(s) or treatment (check all that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Weakness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Dizziness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Shortness of breath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Fatigue / low stamina</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Pain</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Headaches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Recurrent infections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Allergic reactions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Poor growth / weight change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Incontinence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Nausea / stomach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Seizures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Insomnia</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Psychomotor slowing</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Medication side effects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Treatment burden*</w:t>
            </w:r>
          </w:p>
        </w:tc>
      </w:tr>
    </w:tbl>
    <w:p>
      <w:pPr>
        <w:spacing w:after="60" w:before="0"/>
      </w:pPr>
      <w:r>
        <w:rPr>
          <w:i/>
          <w:iCs/>
          <w:sz w:val="16"/>
          <w:szCs w:val="16"/>
        </w:rPr>
        <w:t xml:space="preserve">*e.g., multiple surgeries, chemotherapy, nebulizer treatments, frequent therapy that limits activities or school attendance.</w:t>
      </w:r>
    </w:p>
    <w:p>
      <w:pPr>
        <w:spacing w:after="20" w:before="0"/>
      </w:pPr>
      <w:r>
        <w:rPr>
          <w:b/>
          <w:bCs/>
          <w:sz w:val="18"/>
          <w:szCs w:val="18"/>
        </w:rPr>
        <w:t xml:space="preserve">Past 12 months: </w:t>
      </w:r>
      <w:r>
        <w:rPr>
          <w:sz w:val="18"/>
          <w:szCs w:val="18"/>
        </w:rPr>
        <w:t xml:space="preserve">number of episodes of illness or exacerbation ______; typical duration of each ______; hospitalizations ______.  Medically fragile, needing intensive medical care?</w:t>
      </w:r>
    </w:p>
    <w:p>
      <w:pPr>
        <w:spacing w:after="6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Health and Physical Well-Being: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including dates of episodes and supporting records:</w:t>
            </w:r>
          </w:p>
        </w:tc>
      </w:tr>
      <w:tr>
        <w:trPr>
          <w:trHeight w:val="3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Part B. Other Factors, Duration, and Signature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Extra help, supervision, assistive devices, and structured or supportive settings the child needs, and how the child functions without them (20 CFR 416.924a(b)(5)). Limitations that persist despite treatment (416.924a(b)(9)):</w:t>
            </w:r>
          </w:p>
        </w:tc>
      </w:tr>
      <w:tr>
        <w:trPr>
          <w:trHeight w:val="20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Is the child’s presentation in your office representative of daily functioning? </w:t>
      </w:r>
      <w:r>
        <w:rPr>
          <w:sz w:val="18"/>
          <w:szCs w:val="18"/>
        </w:rPr>
        <w:t xml:space="preserve">(416.924a(b)(6))</w:t>
      </w:r>
    </w:p>
    <w:p>
      <w:pPr>
        <w:spacing w:after="8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Less impaired in office      </w:t>
      </w:r>
      <w:r>
        <w:rPr>
          <w:rFonts w:ascii="Segoe UI Symbol" w:cs="Segoe UI Symbol" w:eastAsia="Segoe UI Symbol" w:hAnsi="Segoe UI Symbol"/>
        </w:rPr>
        <w:t xml:space="preserve">☐</w:t>
      </w:r>
      <w:r>
        <w:rPr>
          <w:sz w:val="18"/>
          <w:szCs w:val="18"/>
        </w:rPr>
        <w:t xml:space="preserve"> More impaired in office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980"/>
        <w:gridCol w:w="3100"/>
      </w:tblGrid>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Complete inability to function independently outside the area of the home within age-appropriate norms, due to physical or combined physical and mental impairment(s) (416.926a(m)(1))</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Requirement for 24-hour-a-day supervision for medical (including psychological) reasons (416.926a(m)(2))</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Have the limitations lasted, or are they expected to last, at least 12 continuous months? (20 CFR 416.909)</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Is the impairment expected to result in death?</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bl>
    <w:p>
      <w:pPr>
        <w:spacing w:after="80"/>
      </w:pPr>
    </w:p>
    <w:p>
      <w:pPr>
        <w:spacing w:after="80" w:before="0"/>
      </w:pPr>
      <w:r>
        <w:rPr>
          <w:b/>
          <w:bCs/>
          <w:sz w:val="18"/>
          <w:szCs w:val="18"/>
        </w:rPr>
        <w:t xml:space="preserve">The limitations described have existed at approximately this level since (date): </w:t>
      </w:r>
      <w:r>
        <w:rPr>
          <w:sz w:val="18"/>
          <w:szCs w:val="18"/>
        </w:rPr>
        <w:t xml:space="preserve">____________</w:t>
      </w:r>
    </w:p>
    <w:p>
      <w:pPr>
        <w:spacing w:after="20" w:before="0"/>
      </w:pPr>
      <w:r>
        <w:rPr>
          <w:b/>
          <w:bCs/>
          <w:sz w:val="18"/>
          <w:szCs w:val="18"/>
        </w:rPr>
        <w:t xml:space="preserve">Sources relied on: </w:t>
      </w:r>
    </w:p>
    <w:p>
      <w:pPr>
        <w:spacing w:after="80" w:before="0"/>
      </w:pPr>
      <w:r>
        <w:rPr>
          <w:rFonts w:ascii="Segoe UI Symbol" w:cs="Segoe UI Symbol" w:eastAsia="Segoe UI Symbol" w:hAnsi="Segoe UI Symbol"/>
        </w:rPr>
        <w:t xml:space="preserve">☐</w:t>
      </w:r>
      <w:r>
        <w:rPr>
          <w:sz w:val="17"/>
          <w:szCs w:val="17"/>
        </w:rPr>
        <w:t xml:space="preserve"> My exam/treatment      </w:t>
      </w:r>
      <w:r>
        <w:rPr>
          <w:rFonts w:ascii="Segoe UI Symbol" w:cs="Segoe UI Symbol" w:eastAsia="Segoe UI Symbol" w:hAnsi="Segoe UI Symbol"/>
        </w:rPr>
        <w:t xml:space="preserve">☐</w:t>
      </w:r>
      <w:r>
        <w:rPr>
          <w:sz w:val="17"/>
          <w:szCs w:val="17"/>
        </w:rPr>
        <w:t xml:space="preserve"> Testing      </w:t>
      </w:r>
      <w:r>
        <w:rPr>
          <w:rFonts w:ascii="Segoe UI Symbol" w:cs="Segoe UI Symbol" w:eastAsia="Segoe UI Symbol" w:hAnsi="Segoe UI Symbol"/>
        </w:rPr>
        <w:t xml:space="preserve">☐</w:t>
      </w:r>
      <w:r>
        <w:rPr>
          <w:sz w:val="17"/>
          <w:szCs w:val="17"/>
        </w:rPr>
        <w:t xml:space="preserve"> Parent report      </w:t>
      </w:r>
      <w:r>
        <w:rPr>
          <w:rFonts w:ascii="Segoe UI Symbol" w:cs="Segoe UI Symbol" w:eastAsia="Segoe UI Symbol" w:hAnsi="Segoe UI Symbol"/>
        </w:rPr>
        <w:t xml:space="preserve">☐</w:t>
      </w:r>
      <w:r>
        <w:rPr>
          <w:sz w:val="17"/>
          <w:szCs w:val="17"/>
        </w:rPr>
        <w:t xml:space="preserve"> School/IEP records      </w:t>
      </w:r>
      <w:r>
        <w:rPr>
          <w:rFonts w:ascii="Segoe UI Symbol" w:cs="Segoe UI Symbol" w:eastAsia="Segoe UI Symbol" w:hAnsi="Segoe UI Symbol"/>
        </w:rPr>
        <w:t xml:space="preserve">☐</w:t>
      </w:r>
      <w:r>
        <w:rPr>
          <w:sz w:val="17"/>
          <w:szCs w:val="17"/>
        </w:rPr>
        <w:t xml:space="preserve"> Therapist reports      </w:t>
      </w:r>
      <w:r>
        <w:rPr>
          <w:rFonts w:ascii="Segoe UI Symbol" w:cs="Segoe UI Symbol" w:eastAsia="Segoe UI Symbol" w:hAnsi="Segoe UI Symbol"/>
        </w:rPr>
        <w:t xml:space="preserve">☐</w:t>
      </w:r>
      <w:r>
        <w:rPr>
          <w:sz w:val="17"/>
          <w:szCs w:val="17"/>
        </w:rPr>
        <w:t xml:space="preserve"> Other records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Additional comments (including any listing you believe is met or equaled):</w:t>
            </w:r>
          </w:p>
        </w:tc>
      </w:tr>
      <w:tr>
        <w:trPr>
          <w:trHeight w:val="1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Signature</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Date</w:t>
            </w:r>
          </w:p>
        </w:tc>
      </w:tr>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Printed name, credentials, and specialty</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Practice address and telephone</w:t>
            </w:r>
          </w:p>
        </w:tc>
      </w:tr>
    </w:tbl>
    <w:sectPr>
      <w:headerReference w:type="default" r:id="rId7"/>
      <w:footerReference w:type="default" r:id="rId8"/>
      <w:pgSz w:w="12240" w:h="15840" w:orient="portrait"/>
      <w:pgMar w:top="1000" w:right="1080" w:bottom="900" w:left="108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F8C99" w:sz="4" w:space="4"/>
      </w:pBdr>
      <w:tabs>
        <w:tab w:val="right" w:pos="10080"/>
      </w:tabs>
    </w:pPr>
    <w:r>
      <w:rPr>
        <w:color w:val="555555"/>
        <w:sz w:val="16"/>
        <w:szCs w:val="16"/>
      </w:rPr>
      <w:t xml:space="preserve">Child’s Functioning — Age 6 to 12</w:t>
    </w:r>
    <w:r>
      <w:rPr>
        <w:color w:val="555555"/>
        <w:sz w:val="16"/>
        <w:szCs w:val="16"/>
      </w:rPr>
      <w:t xml:space="preserve">	Child: ________________________   DOB: 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6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Source Statement of Child's Functioning - School-Age Children (Age 6 to Attainment of Age 12)</dc:title>
  <dc:creator>Counsel for claimant</dc:creator>
  <cp:lastModifiedBy>Un-named</cp:lastModifiedBy>
  <cp:revision>1</cp:revision>
  <dcterms:created xsi:type="dcterms:W3CDTF">2026-09-22T18:37:59.154Z</dcterms:created>
  <dcterms:modified xsi:type="dcterms:W3CDTF">2026-09-22T18:37:59.154Z</dcterms:modified>
</cp:coreProperties>
</file>

<file path=docProps/custom.xml><?xml version="1.0" encoding="utf-8"?>
<Properties xmlns="http://schemas.openxmlformats.org/officeDocument/2006/custom-properties" xmlns:vt="http://schemas.openxmlformats.org/officeDocument/2006/docPropsVTypes"/>
</file>