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color w:val="1F3A5F"/>
          <w:sz w:val="28"/>
          <w:szCs w:val="28"/>
        </w:rPr>
        <w:t xml:space="preserve">MEDICAL SOURCE STATEMENT OF CHILD’S FUNCTIONING (SSI)</w:t>
      </w:r>
    </w:p>
    <w:p>
      <w:pPr>
        <w:spacing w:after="120"/>
        <w:jc w:val="center"/>
      </w:pPr>
      <w:r>
        <w:rPr>
          <w:b/>
          <w:bCs/>
          <w:color w:val="1F3A5F"/>
          <w:sz w:val="21"/>
          <w:szCs w:val="21"/>
        </w:rPr>
        <w:t xml:space="preserve">Newborns and Young Infants (Birth to Attainment of Age 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Child’s name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 of birth</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Age (yrs / mos)</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Parent / guardian</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by (date)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to</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00"/>
      </w:pPr>
    </w:p>
    <w:p>
      <w:pPr>
        <w:spacing w:after="100" w:before="0"/>
      </w:pPr>
      <w:r>
        <w:rPr>
          <w:b/>
          <w:bCs/>
          <w:sz w:val="19"/>
          <w:szCs w:val="19"/>
        </w:rPr>
        <w:t xml:space="preserve">Instructions. </w:t>
      </w:r>
      <w:r>
        <w:rPr>
          <w:sz w:val="19"/>
          <w:szCs w:val="19"/>
        </w:rPr>
        <w:t xml:space="preserve">SSA compares the child’s functioning with that of other children the same age who do not have impairments, looking at “how appropriately, effectively, and independently” the child performs activities (20 CFR 416.926a(b)). For each of the six domains below, SSA’s regulatory description is quoted (“you” means the child). Please rate only limitations caused by the child’s medically determinable impairment(s), considering all impairments together, and consider how the child would function without extra help, supervision, medication, or a structured or supportive setting (20 CFR 416.924a(b)(5)). Check “Unable to assess” rather than estimating. Your explanations are the most important part of this form; please cite supporting findings, test results, and observations, and attach additional pages or records if needed.</w:t>
      </w:r>
    </w:p>
    <w:p>
      <w:pPr>
        <w:spacing w:after="100" w:before="0"/>
      </w:pPr>
      <w:r>
        <w:rPr>
          <w:b/>
          <w:bCs/>
          <w:sz w:val="19"/>
          <w:szCs w:val="19"/>
        </w:rPr>
        <w:t xml:space="preserve">How SSA uses the ratings. </w:t>
      </w:r>
      <w:r>
        <w:rPr>
          <w:sz w:val="19"/>
          <w:szCs w:val="19"/>
        </w:rPr>
        <w:t xml:space="preserve">A child’s impairment(s) “functionally equals the listings” if it results in “marked” limitations in two domains or an “extreme” limitation in one domain (20 CFR 416.926a(a), (d)). “Less than marked” means a limitation exists but does not rise to the level defined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Marked </w:t>
            </w:r>
            <w:r>
              <w:rPr>
                <w:i/>
                <w:iCs/>
                <w:sz w:val="18"/>
                <w:szCs w:val="18"/>
              </w:rPr>
              <w:t xml:space="preserve">(20 CFR 416.926a(e)(2)): </w:t>
            </w:r>
            <w:r>
              <w:rPr>
                <w:sz w:val="18"/>
                <w:szCs w:val="18"/>
              </w:rPr>
              <w:t xml:space="preserve">“. . . your impairment(s) interferes seriously with your ability to independently initiate, sustain, or complete activities. . . . ‘Marked’ limitation also means a limitation that is ‘more than moderate’ but ‘less than extreme.’ It is the equivalent of the functioning we would expect to find on standardized testing with scores that are at least two, but less than three, standard deviations below the mean.”</w:t>
            </w:r>
          </w:p>
          <w:p>
            <w:pPr>
              <w:spacing w:after="60" w:before="0"/>
            </w:pPr>
            <w:r>
              <w:rPr>
                <w:b/>
                <w:bCs/>
                <w:sz w:val="18"/>
                <w:szCs w:val="18"/>
              </w:rPr>
              <w:t xml:space="preserve">Under age 3 </w:t>
            </w:r>
            <w:r>
              <w:rPr>
                <w:i/>
                <w:iCs/>
                <w:sz w:val="18"/>
                <w:szCs w:val="18"/>
              </w:rPr>
              <w:t xml:space="preserve">(416.926a(e)(2)(ii)): </w:t>
            </w:r>
            <w:r>
              <w:rPr>
                <w:sz w:val="18"/>
                <w:szCs w:val="18"/>
              </w:rPr>
              <w:t xml:space="preserve">marked generally means functioning “at a level that is more than one-half but not more than two-thirds of your chronological age when there are no standard scores from standardized tests in your case record.”</w:t>
            </w:r>
          </w:p>
          <w:p>
            <w:pPr>
              <w:spacing w:after="60" w:before="0"/>
            </w:pPr>
            <w:r>
              <w:rPr>
                <w:b/>
                <w:bCs/>
                <w:sz w:val="18"/>
                <w:szCs w:val="18"/>
              </w:rPr>
              <w:t xml:space="preserve">Extreme </w:t>
            </w:r>
            <w:r>
              <w:rPr>
                <w:i/>
                <w:iCs/>
                <w:sz w:val="18"/>
                <w:szCs w:val="18"/>
              </w:rPr>
              <w:t xml:space="preserve">(20 CFR 416.926a(e)(3)): </w:t>
            </w:r>
            <w:r>
              <w:rPr>
                <w:sz w:val="18"/>
                <w:szCs w:val="18"/>
              </w:rPr>
              <w:t xml:space="preserve">“. . . your impairment(s) interferes very seriously with your ability to independently initiate, sustain, or complete activities. . . . ‘Extreme’ limitation is the rating we give to the worst limitations. However, ‘extreme limitation’ does not necessarily mean a total lack or loss of ability to function. It is the equivalent of the functioning we would expect to find on standardized testing with scores that are at least three standard deviations below the mean.”</w:t>
            </w:r>
          </w:p>
          <w:p>
            <w:pPr>
              <w:spacing w:after="60" w:before="0"/>
            </w:pPr>
            <w:r>
              <w:rPr>
                <w:b/>
                <w:bCs/>
                <w:sz w:val="18"/>
                <w:szCs w:val="18"/>
              </w:rPr>
              <w:t xml:space="preserve">Under age 3 </w:t>
            </w:r>
            <w:r>
              <w:rPr>
                <w:i/>
                <w:iCs/>
                <w:sz w:val="18"/>
                <w:szCs w:val="18"/>
              </w:rPr>
              <w:t xml:space="preserve">(416.926a(e)(3)(ii)): </w:t>
            </w:r>
            <w:r>
              <w:rPr>
                <w:sz w:val="18"/>
                <w:szCs w:val="18"/>
              </w:rPr>
              <w:t xml:space="preserve">extreme generally means functioning “at a level that is one-half of your chronological age or less when there are no standard scores from standardized tests in your case record.”</w:t>
            </w:r>
          </w:p>
          <w:p>
            <w:pPr>
              <w:spacing w:after="20" w:before="0"/>
            </w:pPr>
            <w:r>
              <w:rPr>
                <w:b/>
                <w:bCs/>
                <w:sz w:val="18"/>
                <w:szCs w:val="18"/>
              </w:rPr>
              <w:t xml:space="preserve">Test scores </w:t>
            </w:r>
            <w:r>
              <w:rPr>
                <w:i/>
                <w:iCs/>
                <w:sz w:val="18"/>
                <w:szCs w:val="18"/>
              </w:rPr>
              <w:t xml:space="preserve">(416.926a(e)(4)): </w:t>
            </w:r>
            <w:r>
              <w:rPr>
                <w:sz w:val="18"/>
                <w:szCs w:val="18"/>
              </w:rPr>
              <w:t xml:space="preserve">SSA will not rely on a test score alone; scores are considered with the child’s day-to-day functioning.</w:t>
            </w:r>
          </w:p>
        </w:tc>
      </w:tr>
    </w:tbl>
    <w:p>
      <w:r>
        <w:br w:type="page"/>
      </w:r>
    </w:p>
    <w:p>
      <w:pPr>
        <w:pStyle w:val="Heading1"/>
        <w:keepNext/>
        <w:spacing w:after="120" w:before="120"/>
      </w:pPr>
      <w:r>
        <w:t xml:space="preserve">Part A. Treatment, Diagnoses, and Testing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Your name / specialty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Treating since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Visit frequency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Most recent visit</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680"/>
        <w:gridCol w:w="1600"/>
        <w:gridCol w:w="2800"/>
      </w:tblGrid>
      <w:tr>
        <w:trPr>
          <w:tblHeader/>
        </w:trPr>
        <w:tc>
          <w:tcPr>
            <w:tcW w:type="dxa" w:w="56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Diagnoses</w:t>
            </w:r>
          </w:p>
        </w:tc>
        <w:tc>
          <w:tcPr>
            <w:tcW w:type="dxa" w:w="1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ICD-10</w:t>
            </w:r>
          </w:p>
        </w:tc>
        <w:tc>
          <w:tcPr>
            <w:tcW w:type="dxa" w:w="28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Onset / date diagnosed</w:t>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200"/>
        <w:gridCol w:w="46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Standardized test (developmental, cognitive, achievement, speech, adaptive, motor)</w:t>
            </w:r>
          </w:p>
        </w:tc>
        <w:tc>
          <w:tcPr>
            <w:tcW w:type="dxa" w:w="12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w:t>
            </w:r>
          </w:p>
        </w:tc>
        <w:tc>
          <w:tcPr>
            <w:tcW w:type="dxa" w:w="4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Scores (standard score, SD, percentile, or age equivalent)</w:t>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500"/>
        <w:gridCol w:w="43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Medications and other treatment (therapies, early intervention, special education)</w:t>
            </w:r>
          </w:p>
        </w:tc>
        <w:tc>
          <w:tcPr>
            <w:tcW w:type="dxa" w:w="15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Frequency</w:t>
            </w:r>
          </w:p>
        </w:tc>
        <w:tc>
          <w:tcPr>
            <w:tcW w:type="dxa" w:w="43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Benefits / side effects affecting functioning</w:t>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p>
      <w:pPr>
        <w:spacing w:after="20" w:before="0"/>
      </w:pPr>
      <w:r>
        <w:rPr>
          <w:b/>
          <w:bCs/>
          <w:sz w:val="18"/>
          <w:szCs w:val="18"/>
        </w:rPr>
        <w:t xml:space="preserve">Prematurity (20 CFR 416.924b(b)): </w:t>
      </w:r>
      <w:r>
        <w:rPr>
          <w:sz w:val="18"/>
          <w:szCs w:val="18"/>
        </w:rPr>
        <w:t xml:space="preserve">gestational age at birth ______ weeks; corrected age ______ months.  </w:t>
      </w:r>
    </w:p>
    <w:p>
      <w:pPr>
        <w:spacing w:after="80" w:before="0"/>
      </w:pPr>
      <w:r>
        <w:rPr>
          <w:rFonts w:ascii="Segoe UI Symbol" w:cs="Segoe UI Symbol" w:eastAsia="Segoe UI Symbol" w:hAnsi="Segoe UI Symbol"/>
        </w:rPr>
        <w:t xml:space="preserve">☐</w:t>
      </w:r>
      <w:r>
        <w:rPr>
          <w:sz w:val="18"/>
          <w:szCs w:val="18"/>
        </w:rPr>
        <w:t xml:space="preserve"> My assessments already account for prematurity      </w:t>
      </w:r>
      <w:r>
        <w:rPr>
          <w:rFonts w:ascii="Segoe UI Symbol" w:cs="Segoe UI Symbol" w:eastAsia="Segoe UI Symbol" w:hAnsi="Segoe UI Symbol"/>
        </w:rPr>
        <w:t xml:space="preserve">☐</w:t>
      </w:r>
      <w:r>
        <w:rPr>
          <w:sz w:val="18"/>
          <w:szCs w:val="18"/>
        </w:rPr>
        <w:t xml:space="preserve"> They do not      </w:t>
      </w:r>
      <w:r>
        <w:rPr>
          <w:rFonts w:ascii="Segoe UI Symbol" w:cs="Segoe UI Symbol" w:eastAsia="Segoe UI Symbol" w:hAnsi="Segoe UI Symbol"/>
        </w:rPr>
        <w:t xml:space="preserve">☐</w:t>
      </w:r>
      <w:r>
        <w:rPr>
          <w:sz w:val="18"/>
          <w:szCs w:val="18"/>
        </w:rPr>
        <w:t xml:space="preserve"> Not applicable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Key clinical findings and signs, hospitalizations or surgeries in the past two years, and prognosis:</w:t>
            </w:r>
          </w:p>
        </w:tc>
      </w:tr>
      <w:tr>
        <w:trPr>
          <w:trHeight w:val="15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1: Acquiring and Using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416.926a(g); SSR 09-3p; POMS DI 25225.030): </w:t>
            </w:r>
            <w:r>
              <w:rPr>
                <w:sz w:val="18"/>
                <w:szCs w:val="18"/>
              </w:rPr>
              <w:t xml:space="preserve">“In this domain, we consider how well you acquire or learn information, and how well you use the information you have learned.”</w:t>
            </w:r>
          </w:p>
          <w:p>
            <w:pPr>
              <w:spacing w:after="20" w:before="0"/>
            </w:pPr>
            <w:r>
              <w:rPr>
                <w:b/>
                <w:bCs/>
                <w:sz w:val="18"/>
                <w:szCs w:val="18"/>
              </w:rPr>
              <w:t xml:space="preserve">Typical functioning at this age </w:t>
            </w:r>
            <w:r>
              <w:rPr>
                <w:i/>
                <w:iCs/>
                <w:sz w:val="18"/>
                <w:szCs w:val="18"/>
              </w:rPr>
              <w:t xml:space="preserve">(416.926a(g)(2)(i)): </w:t>
            </w:r>
            <w:r>
              <w:rPr>
                <w:sz w:val="18"/>
                <w:szCs w:val="18"/>
              </w:rPr>
              <w:t xml:space="preserve">“At this age, you should show interest in, and explore, your environment. At first, your actions are random; for example, when you accidentally touch the mobile over your crib. Eventually, your actions should become deliberate and purposeful, as when you shake noisemaking toys like a bell or rattle. You should begin to recognize, and then anticipate, routine situations and events, as when you grin with expectation at the sight of your stroller. You should also recognize and gradually attach meaning to everyday sounds, as when you hear the telephone or your name. Eventually, you should recognize and respond to familiar words, including family names and what your favorite toys and activities are called.”</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Acquiring and Using Information: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2: Attending and Completing Tasks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416.926a(h); SSR 09-4p; POMS DI 25225.035): </w:t>
            </w:r>
            <w:r>
              <w:rPr>
                <w:sz w:val="18"/>
                <w:szCs w:val="18"/>
              </w:rPr>
              <w:t xml:space="preserve">“In this domain, we consider how well you are able to focus and maintain your attention, and how well you begin, carry through, and finish your activities, including the pace at which you perform activities and the ease with which you change them.”</w:t>
            </w:r>
          </w:p>
          <w:p>
            <w:pPr>
              <w:spacing w:after="20" w:before="0"/>
            </w:pPr>
            <w:r>
              <w:rPr>
                <w:b/>
                <w:bCs/>
                <w:sz w:val="18"/>
                <w:szCs w:val="18"/>
              </w:rPr>
              <w:t xml:space="preserve">Typical functioning at this age </w:t>
            </w:r>
            <w:r>
              <w:rPr>
                <w:i/>
                <w:iCs/>
                <w:sz w:val="18"/>
                <w:szCs w:val="18"/>
              </w:rPr>
              <w:t xml:space="preserve">(416.926a(h)(2)(i)): </w:t>
            </w:r>
            <w:r>
              <w:rPr>
                <w:sz w:val="18"/>
                <w:szCs w:val="18"/>
              </w:rPr>
              <w:t xml:space="preserve">“You should begin at birth to show sensitivity to your environment by responding to various stimuli (e.g., light, touch, temperature, movement). Very soon, you should be able to fix your gaze on a human face. You should stop your activity when you hear voices or sounds around you. Next, you should begin to attend to and follow various moving objects with your gaze, including people or toys. You should be listening to your family's conversations for longer and longer periods of time. Eventually, as you are able to move around and explore your environment, you should begin to play with people and toys for longer periods of time. You will still want to change activities frequently, but your interest in continuing interaction or a game should gradually expand.”</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Attending and Completing Tasks: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3: Interacting and Relating with Others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416.926a(i); SSR 09-5p; POMS DI 25225.040): </w:t>
            </w:r>
            <w:r>
              <w:rPr>
                <w:sz w:val="18"/>
                <w:szCs w:val="18"/>
              </w:rPr>
              <w:t xml:space="preserve">“In this domain, we consider how well you initiate and sustain emotional connections with others, develop and use the language of your community, cooperate with others, comply with rules, respond to criticism, and respect and take care of the possessions of others.”</w:t>
            </w:r>
          </w:p>
          <w:p>
            <w:pPr>
              <w:spacing w:after="20" w:before="0"/>
            </w:pPr>
            <w:r>
              <w:rPr>
                <w:b/>
                <w:bCs/>
                <w:sz w:val="18"/>
                <w:szCs w:val="18"/>
              </w:rPr>
              <w:t xml:space="preserve">Typical functioning at this age </w:t>
            </w:r>
            <w:r>
              <w:rPr>
                <w:i/>
                <w:iCs/>
                <w:sz w:val="18"/>
                <w:szCs w:val="18"/>
              </w:rPr>
              <w:t xml:space="preserve">(416.926a(i)(2)(i)): </w:t>
            </w:r>
            <w:r>
              <w:rPr>
                <w:sz w:val="18"/>
                <w:szCs w:val="18"/>
              </w:rPr>
              <w:t xml:space="preserve">“You should begin to form intimate relationships at birth by gradually responding visually and vocally to your caregiver(s), through mutual gaze and vocal exchanges, and by physically molding your body to the caregiver's while being held. You should eventually initiate give-and-take games (such as pat-a-cake, peek-a-boo) with your caregivers, and begin to affect others through your own purposeful behavior (e.g., gestures and vocalizations). You should be able to respond to a variety of emotions (e.g., facial expressions and vocal tone changes). You should begin to develop speech by using vowel sounds and later consonants, first alone, and then in babbling.”</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Interacting and Relating with Others: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4: Moving About and Manipulating Objects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416.926a(j); SSR 09-6p; POMS DI 25225.045): </w:t>
            </w:r>
            <w:r>
              <w:rPr>
                <w:sz w:val="18"/>
                <w:szCs w:val="18"/>
              </w:rPr>
              <w:t xml:space="preserve">“In this domain, we consider how you move your body from one place to another and how you move and manipulate things. These are called gross and fine motor skills.”</w:t>
            </w:r>
          </w:p>
          <w:p>
            <w:pPr>
              <w:spacing w:after="20" w:before="0"/>
            </w:pPr>
            <w:r>
              <w:rPr>
                <w:b/>
                <w:bCs/>
                <w:sz w:val="18"/>
                <w:szCs w:val="18"/>
              </w:rPr>
              <w:t xml:space="preserve">Typical functioning at this age </w:t>
            </w:r>
            <w:r>
              <w:rPr>
                <w:i/>
                <w:iCs/>
                <w:sz w:val="18"/>
                <w:szCs w:val="18"/>
              </w:rPr>
              <w:t xml:space="preserve">(416.926a(j)(2)(i)): </w:t>
            </w:r>
            <w:r>
              <w:rPr>
                <w:sz w:val="18"/>
                <w:szCs w:val="18"/>
              </w:rPr>
              <w:t xml:space="preserve">“At birth, you should begin to explore your world by moving your body and by using your limbs. You should learn to hold your head up, sit, crawl, and stand, and sometimes hold onto a stable object and stand actively for brief periods. You should begin to practice your developing eye-hand control by reaching for objects or picking up small objects and dropping them into containers.”</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Moving About and Manipulating Objects: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5: Caring for Yourself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416.926a(k); SSR 09-7p; POMS DI 25225.050): </w:t>
            </w:r>
            <w:r>
              <w:rPr>
                <w:sz w:val="18"/>
                <w:szCs w:val="18"/>
              </w:rPr>
              <w:t xml:space="preserve">“In this domain, we consider how well you maintain a healthy emotional and physical state, including how well you get your physical and emotional wants and needs met in appropriate ways; how you cope with stress and changes in your environment; and whether you take care of your own health, possessions, and living area.”</w:t>
            </w:r>
          </w:p>
          <w:p>
            <w:pPr>
              <w:spacing w:after="20" w:before="0"/>
            </w:pPr>
            <w:r>
              <w:rPr>
                <w:b/>
                <w:bCs/>
                <w:sz w:val="18"/>
                <w:szCs w:val="18"/>
              </w:rPr>
              <w:t xml:space="preserve">Typical functioning at this age </w:t>
            </w:r>
            <w:r>
              <w:rPr>
                <w:i/>
                <w:iCs/>
                <w:sz w:val="18"/>
                <w:szCs w:val="18"/>
              </w:rPr>
              <w:t xml:space="preserve">(416.926a(k)(2)(i)): </w:t>
            </w:r>
            <w:r>
              <w:rPr>
                <w:sz w:val="18"/>
                <w:szCs w:val="18"/>
              </w:rPr>
              <w:t xml:space="preserve">“Your sense of independence and competence begins in being able to recognize your body's signals (e.g., hunger, pain, discomfort), to alert your caregiver to your needs (e.g., by crying), and to console yourself (e.g., by sucking on your hand) until help comes. As you mature, your capacity for self-consolation should expand to include rhythmic behaviors (e.g., rocking). Your need for a sense of competence also emerges in things you try to do for yourself, perhaps before you are ready to do them, as when insisting on putting food in your mouth and refusing your caregiver's help.”</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Caring for Yourself: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68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6: Health and Physical Well-Being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416.926a(l); SSR 09-8p; POMS DI 25225.055): </w:t>
            </w:r>
            <w:r>
              <w:rPr>
                <w:sz w:val="18"/>
                <w:szCs w:val="18"/>
              </w:rPr>
              <w:t xml:space="preserve">“In this domain, we consider the cumulative physical effects of physical or mental impairments and their associated treatments or therapies on your functioning that we did not consider in paragraph (j) of this section.” There are no age-group descriptors for this domain.</w:t>
            </w:r>
          </w:p>
          <w:p>
            <w:pPr>
              <w:spacing w:after="20" w:before="0"/>
            </w:pPr>
            <w:r>
              <w:rPr>
                <w:b/>
                <w:bCs/>
                <w:sz w:val="18"/>
                <w:szCs w:val="18"/>
              </w:rPr>
              <w:t xml:space="preserve">Marked </w:t>
            </w:r>
            <w:r>
              <w:rPr>
                <w:i/>
                <w:iCs/>
                <w:sz w:val="18"/>
                <w:szCs w:val="18"/>
              </w:rPr>
              <w:t xml:space="preserve">(416.926a(e)(2)(iv)): </w:t>
            </w:r>
            <w:r>
              <w:rPr>
                <w:sz w:val="18"/>
                <w:szCs w:val="18"/>
              </w:rPr>
              <w:t xml:space="preserve">may also be found “if you are frequently ill because of your impairment(s) or have frequent exacerbations of your impairment(s) that result in significant, documented symptoms or signs. For purposes of this domain, ‘frequent means that you have episodes of illness or exacerbations that occur on an average of 3 times a year, or once every 4 months, each lasting 2 weeks or more.” More frequent but shorter, or less frequent but longer, episodes may qualify if equivalent in overall effect. An extreme limitation requires episodes “substantially in excess” of these requirements (416.926a(e)(3)(iv)).</w:t>
            </w:r>
          </w:p>
        </w:tc>
      </w:tr>
    </w:tbl>
    <w:p>
      <w:pPr>
        <w:spacing w:after="60"/>
      </w:pPr>
    </w:p>
    <w:p>
      <w:pPr>
        <w:spacing w:after="40" w:before="0"/>
      </w:pPr>
      <w:r>
        <w:rPr>
          <w:b/>
          <w:bCs/>
          <w:sz w:val="18"/>
          <w:szCs w:val="18"/>
        </w:rPr>
        <w:t xml:space="preserve">Physical effects of impairment(s) or treatment (check all that apply):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Weakness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Dizziness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Shortness of breath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Fatigue / low stamina</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Pain</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Headaches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Recurrent infections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Allergic reactions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Poor growth / weight change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Incontinence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Nausea / stomach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Seizures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Insomnia</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Psychomotor slowing</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Medication side effects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Treatment burden*</w:t>
            </w:r>
          </w:p>
        </w:tc>
      </w:tr>
    </w:tbl>
    <w:p>
      <w:pPr>
        <w:spacing w:after="60" w:before="0"/>
      </w:pPr>
      <w:r>
        <w:rPr>
          <w:i/>
          <w:iCs/>
          <w:sz w:val="16"/>
          <w:szCs w:val="16"/>
        </w:rPr>
        <w:t xml:space="preserve">*e.g., multiple surgeries, chemotherapy, nebulizer treatments, frequent therapy that limits activities or school attendance.</w:t>
      </w:r>
    </w:p>
    <w:p>
      <w:pPr>
        <w:spacing w:after="20" w:before="0"/>
      </w:pPr>
      <w:r>
        <w:rPr>
          <w:b/>
          <w:bCs/>
          <w:sz w:val="18"/>
          <w:szCs w:val="18"/>
        </w:rPr>
        <w:t xml:space="preserve">Past 12 months: </w:t>
      </w:r>
      <w:r>
        <w:rPr>
          <w:sz w:val="18"/>
          <w:szCs w:val="18"/>
        </w:rPr>
        <w:t xml:space="preserve">number of episodes of illness or exacerbation ______; typical duration of each ______; hospitalizations ______.  Medically fragile, needing intensive medical care?</w:t>
      </w:r>
    </w:p>
    <w:p>
      <w:pPr>
        <w:spacing w:after="6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Health and Physical Well-Being: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including dates of episodes and supporting records:</w:t>
            </w:r>
          </w:p>
        </w:tc>
      </w:tr>
      <w:tr>
        <w:trPr>
          <w:trHeight w:val="3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Part B. Other Factors, Duration, and Signature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Extra help, supervision, assistive devices, and structured or supportive settings the child needs, and how the child functions without them (20 CFR 416.924a(b)(5)). Limitations that persist despite treatment (416.924a(b)(9)):</w:t>
            </w:r>
          </w:p>
        </w:tc>
      </w:tr>
      <w:tr>
        <w:trPr>
          <w:trHeight w:val="20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p>
      <w:pPr>
        <w:spacing w:after="20" w:before="0"/>
      </w:pPr>
      <w:r>
        <w:rPr>
          <w:b/>
          <w:bCs/>
          <w:sz w:val="18"/>
          <w:szCs w:val="18"/>
        </w:rPr>
        <w:t xml:space="preserve">Is the child’s presentation in your office representative of daily functioning? </w:t>
      </w:r>
      <w:r>
        <w:rPr>
          <w:sz w:val="18"/>
          <w:szCs w:val="18"/>
        </w:rPr>
        <w:t xml:space="preserve">(416.924a(b)(6))</w:t>
      </w:r>
    </w:p>
    <w:p>
      <w:pPr>
        <w:spacing w:after="8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Less impaired in office      </w:t>
      </w:r>
      <w:r>
        <w:rPr>
          <w:rFonts w:ascii="Segoe UI Symbol" w:cs="Segoe UI Symbol" w:eastAsia="Segoe UI Symbol" w:hAnsi="Segoe UI Symbol"/>
        </w:rPr>
        <w:t xml:space="preserve">☐</w:t>
      </w:r>
      <w:r>
        <w:rPr>
          <w:sz w:val="18"/>
          <w:szCs w:val="18"/>
        </w:rPr>
        <w:t xml:space="preserve"> More impaired in office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980"/>
        <w:gridCol w:w="3100"/>
      </w:tblGrid>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Complete inability to function independently outside the area of the home within age-appropriate norms, due to physical or combined physical and mental impairment(s) (416.926a(m)(1))</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Requirement for 24-hour-a-day supervision for medical (including psychological) reasons (416.926a(m)(2))</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Major congenital organ dysfunction expected to result in death within the first year without surgical correction, and expected to be disabling until attainment of age 1 (416.926a(m)(3))</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Have the limitations lasted, or are they expected to last, at least 12 continuous months? (20 CFR 416.909)</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Is the impairment expected to result in death?</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bl>
    <w:p>
      <w:pPr>
        <w:spacing w:after="80"/>
      </w:pPr>
    </w:p>
    <w:p>
      <w:pPr>
        <w:spacing w:after="80" w:before="0"/>
      </w:pPr>
      <w:r>
        <w:rPr>
          <w:b/>
          <w:bCs/>
          <w:sz w:val="18"/>
          <w:szCs w:val="18"/>
        </w:rPr>
        <w:t xml:space="preserve">The limitations described have existed at approximately this level since (date): </w:t>
      </w:r>
      <w:r>
        <w:rPr>
          <w:sz w:val="18"/>
          <w:szCs w:val="18"/>
        </w:rPr>
        <w:t xml:space="preserve">____________</w:t>
      </w:r>
    </w:p>
    <w:p>
      <w:pPr>
        <w:spacing w:after="20" w:before="0"/>
      </w:pPr>
      <w:r>
        <w:rPr>
          <w:b/>
          <w:bCs/>
          <w:sz w:val="18"/>
          <w:szCs w:val="18"/>
        </w:rPr>
        <w:t xml:space="preserve">Sources relied on: </w:t>
      </w:r>
    </w:p>
    <w:p>
      <w:pPr>
        <w:spacing w:after="80" w:before="0"/>
      </w:pPr>
      <w:r>
        <w:rPr>
          <w:rFonts w:ascii="Segoe UI Symbol" w:cs="Segoe UI Symbol" w:eastAsia="Segoe UI Symbol" w:hAnsi="Segoe UI Symbol"/>
        </w:rPr>
        <w:t xml:space="preserve">☐</w:t>
      </w:r>
      <w:r>
        <w:rPr>
          <w:sz w:val="17"/>
          <w:szCs w:val="17"/>
        </w:rPr>
        <w:t xml:space="preserve"> My exam/treatment      </w:t>
      </w:r>
      <w:r>
        <w:rPr>
          <w:rFonts w:ascii="Segoe UI Symbol" w:cs="Segoe UI Symbol" w:eastAsia="Segoe UI Symbol" w:hAnsi="Segoe UI Symbol"/>
        </w:rPr>
        <w:t xml:space="preserve">☐</w:t>
      </w:r>
      <w:r>
        <w:rPr>
          <w:sz w:val="17"/>
          <w:szCs w:val="17"/>
        </w:rPr>
        <w:t xml:space="preserve"> Testing      </w:t>
      </w:r>
      <w:r>
        <w:rPr>
          <w:rFonts w:ascii="Segoe UI Symbol" w:cs="Segoe UI Symbol" w:eastAsia="Segoe UI Symbol" w:hAnsi="Segoe UI Symbol"/>
        </w:rPr>
        <w:t xml:space="preserve">☐</w:t>
      </w:r>
      <w:r>
        <w:rPr>
          <w:sz w:val="17"/>
          <w:szCs w:val="17"/>
        </w:rPr>
        <w:t xml:space="preserve"> Parent report      </w:t>
      </w:r>
      <w:r>
        <w:rPr>
          <w:rFonts w:ascii="Segoe UI Symbol" w:cs="Segoe UI Symbol" w:eastAsia="Segoe UI Symbol" w:hAnsi="Segoe UI Symbol"/>
        </w:rPr>
        <w:t xml:space="preserve">☐</w:t>
      </w:r>
      <w:r>
        <w:rPr>
          <w:sz w:val="17"/>
          <w:szCs w:val="17"/>
        </w:rPr>
        <w:t xml:space="preserve"> School/IEP records      </w:t>
      </w:r>
      <w:r>
        <w:rPr>
          <w:rFonts w:ascii="Segoe UI Symbol" w:cs="Segoe UI Symbol" w:eastAsia="Segoe UI Symbol" w:hAnsi="Segoe UI Symbol"/>
        </w:rPr>
        <w:t xml:space="preserve">☐</w:t>
      </w:r>
      <w:r>
        <w:rPr>
          <w:sz w:val="17"/>
          <w:szCs w:val="17"/>
        </w:rPr>
        <w:t xml:space="preserve"> Therapist reports      </w:t>
      </w:r>
      <w:r>
        <w:rPr>
          <w:rFonts w:ascii="Segoe UI Symbol" w:cs="Segoe UI Symbol" w:eastAsia="Segoe UI Symbol" w:hAnsi="Segoe UI Symbol"/>
        </w:rPr>
        <w:t xml:space="preserve">☐</w:t>
      </w:r>
      <w:r>
        <w:rPr>
          <w:sz w:val="17"/>
          <w:szCs w:val="17"/>
        </w:rPr>
        <w:t xml:space="preserve"> Other records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Additional comments (including any listing you believe is met or equaled):</w:t>
            </w:r>
          </w:p>
        </w:tc>
      </w:tr>
      <w:tr>
        <w:trPr>
          <w:trHeight w:val="1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Signature</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Date</w:t>
            </w:r>
          </w:p>
        </w:tc>
      </w:tr>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Printed name, credentials, and specialty</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Practice address and telephone</w:t>
            </w:r>
          </w:p>
        </w:tc>
      </w:tr>
    </w:tbl>
    <w:sectPr>
      <w:headerReference w:type="default" r:id="rId7"/>
      <w:footerReference w:type="default" r:id="rId8"/>
      <w:pgSz w:w="12240" w:h="15840" w:orient="portrait"/>
      <w:pgMar w:top="1000" w:right="1080" w:bottom="900" w:left="108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F8C99" w:sz="4" w:space="4"/>
      </w:pBdr>
      <w:tabs>
        <w:tab w:val="right" w:pos="10080"/>
      </w:tabs>
    </w:pPr>
    <w:r>
      <w:rPr>
        <w:color w:val="555555"/>
        <w:sz w:val="16"/>
        <w:szCs w:val="16"/>
      </w:rPr>
      <w:t xml:space="preserve">Child’s Functioning — Birth to Age 1</w:t>
    </w:r>
    <w:r>
      <w:rPr>
        <w:color w:val="555555"/>
        <w:sz w:val="16"/>
        <w:szCs w:val="16"/>
      </w:rPr>
      <w:t xml:space="preserve">	Child: ________________________   DOB: 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60"/>
      <w:outlineLvl w:val="0"/>
    </w:pPr>
    <w:rPr>
      <w:rFonts w:ascii="Arial" w:cs="Arial" w:eastAsia="Arial" w:hAnsi="Arial"/>
      <w:b/>
      <w:bCs/>
      <w:color w:val="1F3A5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Source Statement of Child's Functioning - Newborns and Young Infants (Birth to Attainment of Age 1)</dc:title>
  <dc:creator>Counsel for claimant</dc:creator>
  <cp:lastModifiedBy>Un-named</cp:lastModifiedBy>
  <cp:revision>1</cp:revision>
  <dcterms:created xsi:type="dcterms:W3CDTF">2026-09-22T18:37:58.967Z</dcterms:created>
  <dcterms:modified xsi:type="dcterms:W3CDTF">2026-09-22T18:37:58.967Z</dcterms:modified>
</cp:coreProperties>
</file>

<file path=docProps/custom.xml><?xml version="1.0" encoding="utf-8"?>
<Properties xmlns="http://schemas.openxmlformats.org/officeDocument/2006/custom-properties" xmlns:vt="http://schemas.openxmlformats.org/officeDocument/2006/docPropsVTypes"/>
</file>